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5"/>
      </w:pPr>
    </w:p>
    <w:tbl>
      <w:tblPr>
        <w:tblStyle w:val="5"/>
        <w:tblW w:w="8941"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51" w:hRule="atLeast"/>
        </w:trPr>
        <w:tc>
          <w:tcPr>
            <w:tcW w:w="8941" w:type="dxa"/>
            <w:vAlign w:val="top"/>
          </w:tcPr>
          <w:p>
            <w:pPr>
              <w:spacing w:before="191" w:line="220" w:lineRule="auto"/>
              <w:ind w:left="156"/>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10"/>
                </w14:textOutline>
              </w:rPr>
              <w:t>说明：</w:t>
            </w:r>
          </w:p>
          <w:p>
            <w:pPr>
              <w:spacing w:before="179" w:line="361" w:lineRule="auto"/>
              <w:ind w:left="153" w:right="146" w:firstLine="498"/>
              <w:jc w:val="both"/>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本摘要适用于以药动学参数为终点评价指标的生</w:t>
            </w:r>
            <w:r>
              <w:rPr>
                <w:rFonts w:ascii="宋体" w:hAnsi="宋体" w:eastAsia="宋体" w:cs="宋体"/>
                <w:sz w:val="24"/>
                <w:szCs w:val="24"/>
              </w:rPr>
              <w:t>物等效性研究。申请豁免生 物等效性研究的品种，可在生物等效性研究总结部分陈述</w:t>
            </w:r>
            <w:r>
              <w:rPr>
                <w:rFonts w:ascii="宋体" w:hAnsi="宋体" w:eastAsia="宋体" w:cs="宋体"/>
                <w:spacing w:val="-1"/>
                <w:sz w:val="24"/>
                <w:szCs w:val="24"/>
              </w:rPr>
              <w:t>豁免理由，并根据实际情</w:t>
            </w:r>
            <w:r>
              <w:rPr>
                <w:rFonts w:ascii="宋体" w:hAnsi="宋体" w:eastAsia="宋体" w:cs="宋体"/>
                <w:sz w:val="24"/>
                <w:szCs w:val="24"/>
              </w:rPr>
              <w:t xml:space="preserve"> 况简化摘要撰写内容。采用药效学参数为生物等效性评价</w:t>
            </w:r>
            <w:r>
              <w:rPr>
                <w:rFonts w:ascii="宋体" w:hAnsi="宋体" w:eastAsia="宋体" w:cs="宋体"/>
                <w:spacing w:val="-1"/>
                <w:sz w:val="24"/>
                <w:szCs w:val="24"/>
              </w:rPr>
              <w:t>指标的研究，可参考本摘</w:t>
            </w:r>
          </w:p>
          <w:p>
            <w:pPr>
              <w:spacing w:line="220" w:lineRule="auto"/>
              <w:ind w:left="154"/>
              <w:rPr>
                <w:rFonts w:ascii="宋体" w:hAnsi="宋体" w:eastAsia="宋体" w:cs="宋体"/>
                <w:sz w:val="24"/>
                <w:szCs w:val="24"/>
              </w:rPr>
            </w:pPr>
            <w:r>
              <w:rPr>
                <w:rFonts w:ascii="宋体" w:hAnsi="宋体" w:eastAsia="宋体" w:cs="宋体"/>
                <w:spacing w:val="-9"/>
                <w:sz w:val="24"/>
                <w:szCs w:val="24"/>
              </w:rPr>
              <w:t>要撰写。</w:t>
            </w:r>
          </w:p>
          <w:p>
            <w:pPr>
              <w:spacing w:before="179" w:line="465" w:lineRule="exact"/>
              <w:ind w:left="629"/>
              <w:rPr>
                <w:rFonts w:ascii="宋体" w:hAnsi="宋体" w:eastAsia="宋体" w:cs="宋体"/>
                <w:sz w:val="24"/>
                <w:szCs w:val="24"/>
              </w:rPr>
            </w:pPr>
            <w:r>
              <w:rPr>
                <w:rFonts w:ascii="Times New Roman" w:hAnsi="Times New Roman" w:eastAsia="Times New Roman" w:cs="Times New Roman"/>
                <w:spacing w:val="-2"/>
                <w:position w:val="17"/>
                <w:sz w:val="24"/>
                <w:szCs w:val="24"/>
              </w:rPr>
              <w:t>2.</w:t>
            </w:r>
            <w:r>
              <w:rPr>
                <w:rFonts w:ascii="宋体" w:hAnsi="宋体" w:eastAsia="宋体" w:cs="宋体"/>
                <w:spacing w:val="-2"/>
                <w:position w:val="17"/>
                <w:sz w:val="24"/>
                <w:szCs w:val="24"/>
              </w:rPr>
              <w:t>仿制药质量和疗效一致性评价及其它涉及生物等效性研究内容的申请， 相关</w:t>
            </w:r>
          </w:p>
          <w:p>
            <w:pPr>
              <w:spacing w:before="1" w:line="218" w:lineRule="auto"/>
              <w:ind w:left="182"/>
              <w:rPr>
                <w:rFonts w:ascii="宋体" w:hAnsi="宋体" w:eastAsia="宋体" w:cs="宋体"/>
                <w:sz w:val="24"/>
                <w:szCs w:val="24"/>
              </w:rPr>
            </w:pPr>
            <w:r>
              <w:rPr>
                <w:rFonts w:ascii="宋体" w:hAnsi="宋体" w:eastAsia="宋体" w:cs="宋体"/>
                <w:spacing w:val="-4"/>
                <w:sz w:val="24"/>
                <w:szCs w:val="24"/>
              </w:rPr>
              <w:t>内容可参考本摘要撰写。</w:t>
            </w:r>
          </w:p>
        </w:tc>
      </w:tr>
    </w:tbl>
    <w:p>
      <w:pPr>
        <w:spacing w:line="332" w:lineRule="auto"/>
        <w:rPr>
          <w:rFonts w:ascii="Arial"/>
          <w:sz w:val="21"/>
        </w:rPr>
      </w:pPr>
    </w:p>
    <w:p>
      <w:pPr>
        <w:spacing w:line="332" w:lineRule="auto"/>
        <w:rPr>
          <w:rFonts w:ascii="Arial"/>
          <w:sz w:val="21"/>
        </w:rPr>
      </w:pPr>
    </w:p>
    <w:p>
      <w:pPr>
        <w:spacing w:before="159" w:line="375" w:lineRule="exact"/>
        <w:ind w:left="1820"/>
        <w:outlineLvl w:val="0"/>
        <w:rPr>
          <w:rFonts w:ascii="微软雅黑" w:hAnsi="微软雅黑" w:eastAsia="微软雅黑" w:cs="微软雅黑"/>
          <w:sz w:val="37"/>
          <w:szCs w:val="37"/>
        </w:rPr>
      </w:pPr>
      <w:r>
        <w:rPr>
          <w:rFonts w:ascii="微软雅黑" w:hAnsi="微软雅黑" w:eastAsia="微软雅黑" w:cs="微软雅黑"/>
          <w:spacing w:val="-10"/>
          <w:position w:val="-2"/>
          <w:sz w:val="37"/>
          <w:szCs w:val="37"/>
        </w:rPr>
        <w:t>化学仿制药生物等效性研究摘要</w:t>
      </w:r>
    </w:p>
    <w:p>
      <w:pPr>
        <w:pStyle w:val="2"/>
        <w:spacing w:before="258" w:line="471" w:lineRule="exact"/>
        <w:ind w:left="3211"/>
        <w:rPr>
          <w:rFonts w:ascii="Times New Roman" w:hAnsi="Times New Roman" w:eastAsia="Times New Roman" w:cs="Times New Roman"/>
        </w:rPr>
      </w:pPr>
      <w:r>
        <w:rPr>
          <w:spacing w:val="-18"/>
          <w:position w:val="16"/>
        </w:rPr>
        <w:t>药品注册申请人：</w:t>
      </w:r>
      <w:r>
        <w:rPr>
          <w:spacing w:val="66"/>
          <w:position w:val="16"/>
        </w:rPr>
        <w:t xml:space="preserve"> </w:t>
      </w:r>
      <w:r>
        <w:rPr>
          <w:rFonts w:ascii="Times New Roman" w:hAnsi="Times New Roman" w:eastAsia="Times New Roman" w:cs="Times New Roman"/>
          <w:spacing w:val="-18"/>
          <w:position w:val="16"/>
        </w:rPr>
        <w:t>xxx</w:t>
      </w:r>
    </w:p>
    <w:p>
      <w:pPr>
        <w:pStyle w:val="2"/>
        <w:spacing w:line="233" w:lineRule="auto"/>
        <w:ind w:left="3570"/>
        <w:rPr>
          <w:rFonts w:ascii="Times New Roman" w:hAnsi="Times New Roman" w:eastAsia="Times New Roman" w:cs="Times New Roman"/>
        </w:rPr>
      </w:pPr>
      <w:r>
        <w:rPr>
          <w:spacing w:val="-19"/>
        </w:rPr>
        <w:t>生产企业：</w:t>
      </w:r>
      <w:r>
        <w:rPr>
          <w:spacing w:val="21"/>
        </w:rPr>
        <w:t xml:space="preserve"> </w:t>
      </w:r>
      <w:r>
        <w:rPr>
          <w:rFonts w:ascii="Times New Roman" w:hAnsi="Times New Roman" w:eastAsia="Times New Roman" w:cs="Times New Roman"/>
          <w:spacing w:val="-19"/>
        </w:rPr>
        <w:t>xxx</w:t>
      </w:r>
    </w:p>
    <w:p>
      <w:pPr>
        <w:pStyle w:val="2"/>
        <w:spacing w:before="162" w:line="233" w:lineRule="auto"/>
        <w:ind w:left="2310"/>
        <w:rPr>
          <w:rFonts w:ascii="Times New Roman" w:hAnsi="Times New Roman" w:eastAsia="Times New Roman" w:cs="Times New Roman"/>
        </w:rPr>
      </w:pPr>
      <w:r>
        <w:rPr>
          <w:spacing w:val="-9"/>
        </w:rPr>
        <w:t>境外生产药品国外包装厂（如有</w:t>
      </w:r>
      <w:r>
        <w:rPr>
          <w:spacing w:val="12"/>
        </w:rPr>
        <w:t>）：</w:t>
      </w:r>
      <w:r>
        <w:rPr>
          <w:rFonts w:ascii="Times New Roman" w:hAnsi="Times New Roman" w:eastAsia="Times New Roman" w:cs="Times New Roman"/>
          <w:spacing w:val="-9"/>
        </w:rPr>
        <w:t>xxx</w:t>
      </w:r>
    </w:p>
    <w:p>
      <w:pPr>
        <w:spacing w:line="275" w:lineRule="auto"/>
        <w:rPr>
          <w:rFonts w:ascii="Arial"/>
          <w:sz w:val="21"/>
        </w:rPr>
      </w:pPr>
    </w:p>
    <w:p>
      <w:pPr>
        <w:spacing w:line="276" w:lineRule="auto"/>
        <w:rPr>
          <w:rFonts w:ascii="Arial"/>
          <w:sz w:val="21"/>
        </w:rPr>
      </w:pPr>
    </w:p>
    <w:p>
      <w:pPr>
        <w:pStyle w:val="2"/>
        <w:spacing w:before="78" w:line="220" w:lineRule="auto"/>
        <w:ind w:left="201"/>
      </w:pPr>
      <w:r>
        <w:rPr>
          <w:spacing w:val="-3"/>
          <w14:textOutline w14:w="4354" w14:cap="flat" w14:cmpd="sng">
            <w14:solidFill>
              <w14:srgbClr w14:val="000000"/>
            </w14:solidFill>
            <w14:prstDash w14:val="solid"/>
            <w14:miter w14:val="10"/>
          </w14:textOutline>
        </w:rPr>
        <w:t>一、品种概述</w:t>
      </w:r>
    </w:p>
    <w:p>
      <w:pPr>
        <w:pStyle w:val="2"/>
        <w:spacing w:before="185" w:line="219" w:lineRule="auto"/>
        <w:ind w:left="682"/>
      </w:pPr>
      <w:r>
        <w:rPr>
          <w:spacing w:val="-3"/>
        </w:rPr>
        <w:t>简述研究药物的作用机制等信息。</w:t>
      </w:r>
    </w:p>
    <w:p>
      <w:pPr>
        <w:pStyle w:val="2"/>
        <w:spacing w:before="181" w:line="470" w:lineRule="exact"/>
        <w:ind w:left="683"/>
      </w:pPr>
      <w:r>
        <w:rPr>
          <w:spacing w:val="-1"/>
          <w:position w:val="17"/>
          <w14:textOutline w14:w="4354" w14:cap="flat" w14:cmpd="sng">
            <w14:solidFill>
              <w14:srgbClr w14:val="000000"/>
            </w14:solidFill>
            <w14:prstDash w14:val="solid"/>
            <w14:miter w14:val="10"/>
          </w14:textOutline>
        </w:rPr>
        <w:t>原研国外上市情况：</w:t>
      </w:r>
      <w:r>
        <w:rPr>
          <w:spacing w:val="-1"/>
          <w:position w:val="17"/>
        </w:rPr>
        <w:t>简述原研药品在国外上市的基本情况，包括原研公司、</w:t>
      </w:r>
    </w:p>
    <w:p>
      <w:pPr>
        <w:pStyle w:val="2"/>
        <w:spacing w:before="1" w:line="218" w:lineRule="auto"/>
        <w:ind w:left="199"/>
      </w:pPr>
      <w:r>
        <w:rPr>
          <w:spacing w:val="-2"/>
        </w:rPr>
        <w:t>上市国家、上市时间、剂型、规格、商品名、适应症和用法用量等。</w:t>
      </w:r>
    </w:p>
    <w:p>
      <w:pPr>
        <w:pStyle w:val="2"/>
        <w:spacing w:before="182" w:line="360" w:lineRule="auto"/>
        <w:ind w:left="203" w:right="453" w:firstLine="480"/>
      </w:pPr>
      <w:r>
        <w:rPr>
          <w:spacing w:val="2"/>
          <w14:textOutline w14:w="4354" w14:cap="flat" w14:cmpd="sng">
            <w14:solidFill>
              <w14:srgbClr w14:val="000000"/>
            </w14:solidFill>
            <w14:prstDash w14:val="solid"/>
            <w14:miter w14:val="10"/>
          </w14:textOutline>
        </w:rPr>
        <w:t>原研国内上市情况：</w:t>
      </w:r>
      <w:r>
        <w:rPr>
          <w:spacing w:val="2"/>
        </w:rPr>
        <w:t>简述原研药品在国内上市的基本情况，</w:t>
      </w:r>
      <w:r>
        <w:rPr>
          <w:spacing w:val="1"/>
        </w:rPr>
        <w:t>包括进口和</w:t>
      </w:r>
      <w:r>
        <w:rPr>
          <w:rFonts w:ascii="Times New Roman" w:hAnsi="Times New Roman" w:eastAsia="Times New Roman" w:cs="Times New Roman"/>
          <w:spacing w:val="1"/>
        </w:rPr>
        <w:t>/</w:t>
      </w:r>
      <w:r>
        <w:rPr>
          <w:spacing w:val="1"/>
        </w:rPr>
        <w:t>或</w:t>
      </w:r>
      <w:r>
        <w:t xml:space="preserve"> </w:t>
      </w:r>
      <w:r>
        <w:rPr>
          <w:spacing w:val="-13"/>
        </w:rPr>
        <w:t>原研地产化情况，</w:t>
      </w:r>
      <w:r>
        <w:rPr>
          <w:spacing w:val="76"/>
        </w:rPr>
        <w:t xml:space="preserve"> </w:t>
      </w:r>
      <w:r>
        <w:rPr>
          <w:spacing w:val="-13"/>
        </w:rPr>
        <w:t>以及企业名称、</w:t>
      </w:r>
      <w:r>
        <w:rPr>
          <w:spacing w:val="33"/>
        </w:rPr>
        <w:t xml:space="preserve"> </w:t>
      </w:r>
      <w:r>
        <w:rPr>
          <w:spacing w:val="-13"/>
        </w:rPr>
        <w:t>上市时间、剂型、规格、商品名、适应症和用</w:t>
      </w:r>
    </w:p>
    <w:p>
      <w:pPr>
        <w:pStyle w:val="2"/>
        <w:spacing w:before="1" w:line="219" w:lineRule="auto"/>
        <w:ind w:left="198"/>
      </w:pPr>
      <w:r>
        <w:rPr>
          <w:spacing w:val="-2"/>
        </w:rPr>
        <w:t>法用量（截止申报日最新数据）等。如未在国内上市，则予以说明。</w:t>
      </w:r>
    </w:p>
    <w:p>
      <w:pPr>
        <w:pStyle w:val="2"/>
        <w:spacing w:before="185" w:line="466" w:lineRule="exact"/>
        <w:ind w:left="679"/>
      </w:pPr>
      <w:r>
        <w:rPr>
          <w:spacing w:val="-13"/>
          <w:position w:val="17"/>
          <w14:textOutline w14:w="4354" w14:cap="flat" w14:cmpd="sng">
            <w14:solidFill>
              <w14:srgbClr w14:val="000000"/>
            </w14:solidFill>
            <w14:prstDash w14:val="solid"/>
            <w14:miter w14:val="10"/>
          </w14:textOutline>
        </w:rPr>
        <w:t>仿制药国内上市情况：</w:t>
      </w:r>
      <w:r>
        <w:rPr>
          <w:spacing w:val="-31"/>
          <w:position w:val="17"/>
        </w:rPr>
        <w:t xml:space="preserve"> </w:t>
      </w:r>
      <w:r>
        <w:rPr>
          <w:spacing w:val="-13"/>
          <w:position w:val="17"/>
        </w:rPr>
        <w:t>简述国内上市（国产和进口）</w:t>
      </w:r>
      <w:r>
        <w:rPr>
          <w:spacing w:val="-38"/>
          <w:position w:val="17"/>
        </w:rPr>
        <w:t xml:space="preserve"> </w:t>
      </w:r>
      <w:r>
        <w:rPr>
          <w:spacing w:val="-13"/>
          <w:position w:val="17"/>
        </w:rPr>
        <w:t>仿制药情况，</w:t>
      </w:r>
      <w:r>
        <w:rPr>
          <w:spacing w:val="37"/>
          <w:position w:val="17"/>
        </w:rPr>
        <w:t xml:space="preserve"> </w:t>
      </w:r>
      <w:r>
        <w:rPr>
          <w:spacing w:val="-13"/>
          <w:position w:val="17"/>
        </w:rPr>
        <w:t>包括上市</w:t>
      </w:r>
    </w:p>
    <w:p>
      <w:pPr>
        <w:pStyle w:val="2"/>
        <w:spacing w:before="1" w:line="218" w:lineRule="auto"/>
        <w:ind w:left="198"/>
      </w:pPr>
      <w:r>
        <w:rPr>
          <w:spacing w:val="-2"/>
        </w:rPr>
        <w:t>剂型、规格、批准情况等。说明化学药品目录集收录情况。</w:t>
      </w:r>
    </w:p>
    <w:p>
      <w:pPr>
        <w:pStyle w:val="2"/>
        <w:spacing w:before="186" w:line="360" w:lineRule="auto"/>
        <w:ind w:left="196" w:right="379" w:firstLine="481"/>
      </w:pPr>
      <w:r>
        <w:rPr>
          <w:spacing w:val="-13"/>
          <w14:textOutline w14:w="4354" w14:cap="flat" w14:cmpd="sng">
            <w14:solidFill>
              <w14:srgbClr w14:val="000000"/>
            </w14:solidFill>
            <w14:prstDash w14:val="solid"/>
            <w14:miter w14:val="10"/>
          </w14:textOutline>
        </w:rPr>
        <w:t>本品情况：</w:t>
      </w:r>
      <w:r>
        <w:rPr>
          <w:spacing w:val="-65"/>
        </w:rPr>
        <w:t xml:space="preserve"> </w:t>
      </w:r>
      <w:r>
        <w:rPr>
          <w:spacing w:val="-13"/>
        </w:rPr>
        <w:t>简述本次申请相关情况。说明注册申请人、生产企业、药品名称、</w:t>
      </w:r>
      <w:r>
        <w:t xml:space="preserve">  </w:t>
      </w:r>
      <w:r>
        <w:rPr>
          <w:spacing w:val="-14"/>
        </w:rPr>
        <w:t>规格、注册分类、拟定适应症和用法用量。说明是否首次申报， 如存在多次申报，</w:t>
      </w:r>
      <w:r>
        <w:rPr>
          <w:spacing w:val="2"/>
        </w:rPr>
        <w:t xml:space="preserve">  </w:t>
      </w:r>
      <w:r>
        <w:rPr>
          <w:spacing w:val="-1"/>
        </w:rPr>
        <w:t>简述历次申报情况以及审评审批结论。简述沟通交流情况及回复意见（如有）。</w:t>
      </w:r>
      <w:r>
        <w:rPr>
          <w:spacing w:val="10"/>
        </w:rPr>
        <w:t xml:space="preserve"> </w:t>
      </w:r>
      <w:r>
        <w:rPr>
          <w:spacing w:val="-5"/>
        </w:rPr>
        <w:t>对于共线品种和注册分类</w:t>
      </w:r>
      <w:r>
        <w:rPr>
          <w:spacing w:val="-44"/>
        </w:rPr>
        <w:t xml:space="preserve"> </w:t>
      </w:r>
      <w:r>
        <w:rPr>
          <w:rFonts w:ascii="Times New Roman" w:hAnsi="Times New Roman" w:eastAsia="Times New Roman" w:cs="Times New Roman"/>
          <w:spacing w:val="-5"/>
        </w:rPr>
        <w:t xml:space="preserve">5.2 </w:t>
      </w:r>
      <w:r>
        <w:rPr>
          <w:spacing w:val="-5"/>
        </w:rPr>
        <w:t>类品种， 简述在国外的申报或批准情况等。（对于</w:t>
      </w:r>
    </w:p>
    <w:p>
      <w:pPr>
        <w:pStyle w:val="2"/>
        <w:spacing w:before="1" w:line="218" w:lineRule="auto"/>
        <w:ind w:left="199"/>
      </w:pPr>
      <w:r>
        <w:rPr>
          <w:spacing w:val="-6"/>
        </w:rPr>
        <w:t xml:space="preserve">参照本摘要格式撰写申报资料的一致性评价品种， </w:t>
      </w:r>
      <w:r>
        <w:rPr>
          <w:spacing w:val="-7"/>
        </w:rPr>
        <w:t>简述首次批准上市时间、历次</w:t>
      </w:r>
    </w:p>
    <w:p>
      <w:pPr>
        <w:spacing w:line="218" w:lineRule="auto"/>
        <w:sectPr>
          <w:pgSz w:w="11905" w:h="16839"/>
          <w:pgMar w:top="1431" w:right="1339" w:bottom="0" w:left="1612" w:header="0" w:footer="0" w:gutter="0"/>
          <w:cols w:space="720" w:num="1"/>
        </w:sectPr>
      </w:pPr>
    </w:p>
    <w:p>
      <w:pPr>
        <w:pStyle w:val="2"/>
        <w:spacing w:before="124" w:line="219" w:lineRule="auto"/>
        <w:ind w:left="24"/>
      </w:pPr>
      <w:r>
        <w:rPr>
          <w:spacing w:val="-2"/>
        </w:rPr>
        <w:t>变更情况、本次申请事项等。）简述其他需要说明的情况。</w:t>
      </w:r>
    </w:p>
    <w:p>
      <w:pPr>
        <w:pStyle w:val="2"/>
        <w:spacing w:before="180" w:line="219" w:lineRule="auto"/>
        <w:ind w:left="28"/>
        <w:outlineLvl w:val="0"/>
      </w:pPr>
      <w:r>
        <w:rPr>
          <w:spacing w:val="-16"/>
          <w14:textOutline w14:w="4354" w14:cap="flat" w14:cmpd="sng">
            <w14:solidFill>
              <w14:srgbClr w14:val="000000"/>
            </w14:solidFill>
            <w14:prstDash w14:val="solid"/>
            <w14:miter w14:val="10"/>
          </w14:textOutline>
        </w:rPr>
        <w:t>二、</w:t>
      </w:r>
      <w:r>
        <w:rPr>
          <w:spacing w:val="-32"/>
        </w:rPr>
        <w:t xml:space="preserve"> </w:t>
      </w:r>
      <w:r>
        <w:rPr>
          <w:spacing w:val="-16"/>
          <w14:textOutline w14:w="4354" w14:cap="flat" w14:cmpd="sng">
            <w14:solidFill>
              <w14:srgbClr w14:val="000000"/>
            </w14:solidFill>
            <w14:prstDash w14:val="solid"/>
            <w14:miter w14:val="10"/>
          </w14:textOutline>
        </w:rPr>
        <w:t>基本信息</w:t>
      </w:r>
    </w:p>
    <w:p>
      <w:pPr>
        <w:pStyle w:val="2"/>
        <w:spacing w:before="186" w:line="219" w:lineRule="auto"/>
        <w:ind w:left="31"/>
        <w:outlineLvl w:val="0"/>
      </w:pPr>
      <w:r>
        <w:rPr>
          <w:rFonts w:ascii="Times New Roman" w:hAnsi="Times New Roman" w:eastAsia="Times New Roman" w:cs="Times New Roman"/>
          <w:b/>
          <w:bCs/>
          <w:spacing w:val="-1"/>
        </w:rPr>
        <w:t>1.</w:t>
      </w:r>
      <w:r>
        <w:rPr>
          <w:spacing w:val="-1"/>
          <w14:textOutline w14:w="4354" w14:cap="flat" w14:cmpd="sng">
            <w14:solidFill>
              <w14:srgbClr w14:val="000000"/>
            </w14:solidFill>
            <w14:prstDash w14:val="solid"/>
            <w14:miter w14:val="10"/>
          </w14:textOutline>
        </w:rPr>
        <w:t>国家局发布的参比制剂信息</w:t>
      </w:r>
    </w:p>
    <w:p>
      <w:pPr>
        <w:pStyle w:val="2"/>
        <w:spacing w:before="228" w:line="219" w:lineRule="auto"/>
        <w:ind w:left="509"/>
      </w:pPr>
      <w:r>
        <w:rPr>
          <w:spacing w:val="-3"/>
        </w:rPr>
        <w:t>简述国家局发布的本品所有参比制剂相关信息。</w:t>
      </w:r>
    </w:p>
    <w:p>
      <w:pPr>
        <w:pStyle w:val="2"/>
        <w:spacing w:before="148" w:line="220" w:lineRule="auto"/>
        <w:ind w:left="2507"/>
        <w:rPr>
          <w:sz w:val="21"/>
          <w:szCs w:val="21"/>
        </w:rPr>
      </w:pPr>
      <w:r>
        <w:rPr>
          <w:spacing w:val="-2"/>
          <w:sz w:val="21"/>
          <w:szCs w:val="21"/>
          <w14:textOutline w14:w="3831" w14:cap="flat" w14:cmpd="sng">
            <w14:solidFill>
              <w14:srgbClr w14:val="000000"/>
            </w14:solidFill>
            <w14:prstDash w14:val="solid"/>
            <w14:miter w14:val="10"/>
          </w14:textOutline>
        </w:rPr>
        <w:t>国家局公布的参比制剂信息（示例）</w:t>
      </w:r>
    </w:p>
    <w:p>
      <w:pPr>
        <w:spacing w:line="133"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1185"/>
        <w:gridCol w:w="1185"/>
        <w:gridCol w:w="1185"/>
        <w:gridCol w:w="1186"/>
        <w:gridCol w:w="1185"/>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90" w:type="dxa"/>
            <w:vAlign w:val="top"/>
          </w:tcPr>
          <w:p>
            <w:pPr>
              <w:pStyle w:val="6"/>
              <w:spacing w:before="212" w:line="222" w:lineRule="auto"/>
              <w:ind w:left="391"/>
            </w:pPr>
            <w:r>
              <w:rPr>
                <w:spacing w:val="-2"/>
                <w14:textOutline w14:w="3831" w14:cap="flat" w14:cmpd="sng">
                  <w14:solidFill>
                    <w14:srgbClr w14:val="000000"/>
                  </w14:solidFill>
                  <w14:prstDash w14:val="solid"/>
                  <w14:miter w14:val="10"/>
                </w14:textOutline>
              </w:rPr>
              <w:t>序号</w:t>
            </w:r>
          </w:p>
        </w:tc>
        <w:tc>
          <w:tcPr>
            <w:tcW w:w="1185" w:type="dxa"/>
            <w:vAlign w:val="top"/>
          </w:tcPr>
          <w:p>
            <w:pPr>
              <w:pStyle w:val="6"/>
              <w:spacing w:before="52" w:line="249" w:lineRule="auto"/>
              <w:ind w:left="390" w:right="166" w:hanging="211"/>
            </w:pPr>
            <w:r>
              <w:rPr>
                <w:spacing w:val="-2"/>
                <w14:textOutline w14:w="3831" w14:cap="flat" w14:cmpd="sng">
                  <w14:solidFill>
                    <w14:srgbClr w14:val="000000"/>
                  </w14:solidFill>
                  <w14:prstDash w14:val="solid"/>
                  <w14:miter w14:val="10"/>
                </w14:textOutline>
              </w:rPr>
              <w:t>药品通用</w:t>
            </w:r>
            <w:r>
              <w:rPr>
                <w:spacing w:val="1"/>
              </w:rPr>
              <w:t xml:space="preserve"> </w:t>
            </w:r>
            <w:r>
              <w:rPr>
                <w:spacing w:val="-3"/>
                <w14:textOutline w14:w="3831" w14:cap="flat" w14:cmpd="sng">
                  <w14:solidFill>
                    <w14:srgbClr w14:val="000000"/>
                  </w14:solidFill>
                  <w14:prstDash w14:val="solid"/>
                  <w14:miter w14:val="10"/>
                </w14:textOutline>
              </w:rPr>
              <w:t>名称</w:t>
            </w:r>
          </w:p>
        </w:tc>
        <w:tc>
          <w:tcPr>
            <w:tcW w:w="1185" w:type="dxa"/>
            <w:vAlign w:val="top"/>
          </w:tcPr>
          <w:p>
            <w:pPr>
              <w:pStyle w:val="6"/>
              <w:spacing w:before="53" w:line="248" w:lineRule="auto"/>
              <w:ind w:left="282" w:right="134" w:hanging="137"/>
            </w:pPr>
            <w:r>
              <w:rPr>
                <w14:textOutline w14:w="3831" w14:cap="flat" w14:cmpd="sng">
                  <w14:solidFill>
                    <w14:srgbClr w14:val="000000"/>
                  </w14:solidFill>
                  <w14:prstDash w14:val="solid"/>
                  <w14:miter w14:val="10"/>
                </w14:textOutline>
              </w:rPr>
              <w:t>英文名称</w:t>
            </w:r>
            <w:r>
              <w:rPr>
                <w:rFonts w:ascii="Times New Roman" w:hAnsi="Times New Roman" w:eastAsia="Times New Roman" w:cs="Times New Roman"/>
                <w:b/>
                <w:bCs/>
              </w:rPr>
              <w:t xml:space="preserve">/ </w:t>
            </w:r>
            <w:r>
              <w:rPr>
                <w:spacing w:val="-2"/>
                <w14:textOutline w14:w="3831" w14:cap="flat" w14:cmpd="sng">
                  <w14:solidFill>
                    <w14:srgbClr w14:val="000000"/>
                  </w14:solidFill>
                  <w14:prstDash w14:val="solid"/>
                  <w14:miter w14:val="10"/>
                </w14:textOutline>
              </w:rPr>
              <w:t>商品名</w:t>
            </w:r>
          </w:p>
        </w:tc>
        <w:tc>
          <w:tcPr>
            <w:tcW w:w="1185" w:type="dxa"/>
            <w:vAlign w:val="top"/>
          </w:tcPr>
          <w:p>
            <w:pPr>
              <w:pStyle w:val="6"/>
              <w:spacing w:before="211" w:line="221" w:lineRule="auto"/>
              <w:ind w:left="386"/>
            </w:pPr>
            <w:r>
              <w:rPr>
                <w:spacing w:val="-2"/>
                <w14:textOutline w14:w="3831" w14:cap="flat" w14:cmpd="sng">
                  <w14:solidFill>
                    <w14:srgbClr w14:val="000000"/>
                  </w14:solidFill>
                  <w14:prstDash w14:val="solid"/>
                  <w14:miter w14:val="10"/>
                </w14:textOutline>
              </w:rPr>
              <w:t>规格</w:t>
            </w:r>
          </w:p>
        </w:tc>
        <w:tc>
          <w:tcPr>
            <w:tcW w:w="1186" w:type="dxa"/>
            <w:vAlign w:val="top"/>
          </w:tcPr>
          <w:p>
            <w:pPr>
              <w:pStyle w:val="6"/>
              <w:spacing w:before="211" w:line="221" w:lineRule="auto"/>
              <w:ind w:left="283"/>
            </w:pPr>
            <w:r>
              <w:rPr>
                <w:spacing w:val="-2"/>
                <w14:textOutline w14:w="3831" w14:cap="flat" w14:cmpd="sng">
                  <w14:solidFill>
                    <w14:srgbClr w14:val="000000"/>
                  </w14:solidFill>
                  <w14:prstDash w14:val="solid"/>
                  <w14:miter w14:val="10"/>
                </w14:textOutline>
              </w:rPr>
              <w:t>持证商</w:t>
            </w:r>
          </w:p>
        </w:tc>
        <w:tc>
          <w:tcPr>
            <w:tcW w:w="1185" w:type="dxa"/>
            <w:vAlign w:val="top"/>
          </w:tcPr>
          <w:p>
            <w:pPr>
              <w:pStyle w:val="6"/>
              <w:spacing w:before="212" w:line="222" w:lineRule="auto"/>
              <w:ind w:left="307"/>
              <w:rPr>
                <w:rFonts w:ascii="Times New Roman" w:hAnsi="Times New Roman" w:eastAsia="Times New Roman" w:cs="Times New Roman"/>
              </w:rPr>
            </w:pPr>
            <w:r>
              <w:rPr>
                <w:spacing w:val="-3"/>
                <w14:textOutline w14:w="3831" w14:cap="flat" w14:cmpd="sng">
                  <w14:solidFill>
                    <w14:srgbClr w14:val="000000"/>
                  </w14:solidFill>
                  <w14:prstDash w14:val="solid"/>
                  <w14:miter w14:val="10"/>
                </w14:textOutline>
              </w:rPr>
              <w:t>备注</w:t>
            </w:r>
            <w:r>
              <w:rPr>
                <w:spacing w:val="-34"/>
              </w:rPr>
              <w:t xml:space="preserve"> </w:t>
            </w:r>
            <w:r>
              <w:rPr>
                <w:rFonts w:ascii="Times New Roman" w:hAnsi="Times New Roman" w:eastAsia="Times New Roman" w:cs="Times New Roman"/>
                <w:b/>
                <w:bCs/>
                <w:spacing w:val="-3"/>
              </w:rPr>
              <w:t>1</w:t>
            </w:r>
          </w:p>
        </w:tc>
        <w:tc>
          <w:tcPr>
            <w:tcW w:w="1186" w:type="dxa"/>
            <w:vAlign w:val="top"/>
          </w:tcPr>
          <w:p>
            <w:pPr>
              <w:pStyle w:val="6"/>
              <w:spacing w:before="212" w:line="222" w:lineRule="auto"/>
              <w:ind w:left="308"/>
              <w:rPr>
                <w:rFonts w:ascii="Times New Roman" w:hAnsi="Times New Roman" w:eastAsia="Times New Roman" w:cs="Times New Roman"/>
              </w:rPr>
            </w:pPr>
            <w:r>
              <w:rPr>
                <w:spacing w:val="-3"/>
                <w14:textOutline w14:w="3831" w14:cap="flat" w14:cmpd="sng">
                  <w14:solidFill>
                    <w14:srgbClr w14:val="000000"/>
                  </w14:solidFill>
                  <w14:prstDash w14:val="solid"/>
                  <w14:miter w14:val="10"/>
                </w14:textOutline>
              </w:rPr>
              <w:t>备注</w:t>
            </w:r>
            <w:r>
              <w:rPr>
                <w:spacing w:val="-43"/>
              </w:rPr>
              <w:t xml:space="preserve"> </w:t>
            </w:r>
            <w:r>
              <w:rPr>
                <w:rFonts w:ascii="Times New Roman" w:hAnsi="Times New Roman" w:eastAsia="Times New Roman" w:cs="Times New Roman"/>
                <w:b/>
                <w:bCs/>
                <w:spacing w:val="-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90" w:type="dxa"/>
            <w:vAlign w:val="top"/>
          </w:tcPr>
          <w:p>
            <w:pPr>
              <w:rPr>
                <w:rFonts w:ascii="Arial"/>
                <w:sz w:val="21"/>
              </w:rPr>
            </w:pPr>
          </w:p>
        </w:tc>
        <w:tc>
          <w:tcPr>
            <w:tcW w:w="1185" w:type="dxa"/>
            <w:vAlign w:val="top"/>
          </w:tcPr>
          <w:p>
            <w:pPr>
              <w:rPr>
                <w:rFonts w:ascii="Arial"/>
                <w:sz w:val="21"/>
              </w:rPr>
            </w:pPr>
          </w:p>
        </w:tc>
        <w:tc>
          <w:tcPr>
            <w:tcW w:w="1185" w:type="dxa"/>
            <w:vAlign w:val="top"/>
          </w:tcPr>
          <w:p>
            <w:pPr>
              <w:rPr>
                <w:rFonts w:ascii="Arial"/>
                <w:sz w:val="21"/>
              </w:rPr>
            </w:pPr>
          </w:p>
        </w:tc>
        <w:tc>
          <w:tcPr>
            <w:tcW w:w="1185" w:type="dxa"/>
            <w:vAlign w:val="top"/>
          </w:tcPr>
          <w:p>
            <w:pPr>
              <w:rPr>
                <w:rFonts w:ascii="Arial"/>
                <w:sz w:val="21"/>
              </w:rPr>
            </w:pPr>
          </w:p>
        </w:tc>
        <w:tc>
          <w:tcPr>
            <w:tcW w:w="1186" w:type="dxa"/>
            <w:vAlign w:val="top"/>
          </w:tcPr>
          <w:p>
            <w:pPr>
              <w:rPr>
                <w:rFonts w:ascii="Arial"/>
                <w:sz w:val="21"/>
              </w:rPr>
            </w:pPr>
          </w:p>
        </w:tc>
        <w:tc>
          <w:tcPr>
            <w:tcW w:w="1185" w:type="dxa"/>
            <w:vAlign w:val="top"/>
          </w:tcPr>
          <w:p>
            <w:pPr>
              <w:rPr>
                <w:rFonts w:ascii="Arial"/>
                <w:sz w:val="21"/>
              </w:rPr>
            </w:pP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90" w:type="dxa"/>
            <w:vAlign w:val="top"/>
          </w:tcPr>
          <w:p>
            <w:pPr>
              <w:rPr>
                <w:rFonts w:ascii="Arial"/>
                <w:sz w:val="21"/>
              </w:rPr>
            </w:pPr>
          </w:p>
        </w:tc>
        <w:tc>
          <w:tcPr>
            <w:tcW w:w="1185" w:type="dxa"/>
            <w:vAlign w:val="top"/>
          </w:tcPr>
          <w:p>
            <w:pPr>
              <w:rPr>
                <w:rFonts w:ascii="Arial"/>
                <w:sz w:val="21"/>
              </w:rPr>
            </w:pPr>
          </w:p>
        </w:tc>
        <w:tc>
          <w:tcPr>
            <w:tcW w:w="1185" w:type="dxa"/>
            <w:vAlign w:val="top"/>
          </w:tcPr>
          <w:p>
            <w:pPr>
              <w:rPr>
                <w:rFonts w:ascii="Arial"/>
                <w:sz w:val="21"/>
              </w:rPr>
            </w:pPr>
          </w:p>
        </w:tc>
        <w:tc>
          <w:tcPr>
            <w:tcW w:w="1185" w:type="dxa"/>
            <w:vAlign w:val="top"/>
          </w:tcPr>
          <w:p>
            <w:pPr>
              <w:rPr>
                <w:rFonts w:ascii="Arial"/>
                <w:sz w:val="21"/>
              </w:rPr>
            </w:pPr>
          </w:p>
        </w:tc>
        <w:tc>
          <w:tcPr>
            <w:tcW w:w="1186" w:type="dxa"/>
            <w:vAlign w:val="top"/>
          </w:tcPr>
          <w:p>
            <w:pPr>
              <w:rPr>
                <w:rFonts w:ascii="Arial"/>
                <w:sz w:val="21"/>
              </w:rPr>
            </w:pPr>
          </w:p>
        </w:tc>
        <w:tc>
          <w:tcPr>
            <w:tcW w:w="1185" w:type="dxa"/>
            <w:vAlign w:val="top"/>
          </w:tcPr>
          <w:p>
            <w:pPr>
              <w:rPr>
                <w:rFonts w:ascii="Arial"/>
                <w:sz w:val="21"/>
              </w:rPr>
            </w:pPr>
          </w:p>
        </w:tc>
        <w:tc>
          <w:tcPr>
            <w:tcW w:w="1186" w:type="dxa"/>
            <w:vAlign w:val="top"/>
          </w:tcPr>
          <w:p>
            <w:pPr>
              <w:rPr>
                <w:rFonts w:ascii="Arial"/>
                <w:sz w:val="21"/>
              </w:rPr>
            </w:pPr>
          </w:p>
        </w:tc>
      </w:tr>
    </w:tbl>
    <w:p>
      <w:pPr>
        <w:pStyle w:val="2"/>
        <w:spacing w:before="115" w:line="220" w:lineRule="auto"/>
        <w:ind w:left="21"/>
        <w:outlineLvl w:val="0"/>
      </w:pPr>
      <w:r>
        <w:rPr>
          <w:rFonts w:ascii="Times New Roman" w:hAnsi="Times New Roman" w:eastAsia="Times New Roman" w:cs="Times New Roman"/>
          <w:b/>
          <w:bCs/>
        </w:rPr>
        <w:t>2.</w:t>
      </w:r>
      <w:r>
        <w:rPr>
          <w14:textOutline w14:w="4354" w14:cap="flat" w14:cmpd="sng">
            <w14:solidFill>
              <w14:srgbClr w14:val="000000"/>
            </w14:solidFill>
            <w14:prstDash w14:val="solid"/>
            <w14:miter w14:val="10"/>
          </w14:textOutline>
        </w:rPr>
        <w:t>药代动力学特征</w:t>
      </w:r>
    </w:p>
    <w:p>
      <w:pPr>
        <w:pStyle w:val="2"/>
        <w:spacing w:before="233" w:line="471" w:lineRule="exact"/>
        <w:ind w:left="509"/>
      </w:pPr>
      <w:r>
        <w:rPr>
          <w:spacing w:val="-1"/>
          <w:position w:val="16"/>
        </w:rPr>
        <w:t>简述最新核准的原研进口和</w:t>
      </w:r>
      <w:r>
        <w:rPr>
          <w:rFonts w:ascii="Times New Roman" w:hAnsi="Times New Roman" w:eastAsia="Times New Roman" w:cs="Times New Roman"/>
          <w:spacing w:val="-1"/>
          <w:position w:val="16"/>
        </w:rPr>
        <w:t>/</w:t>
      </w:r>
      <w:r>
        <w:rPr>
          <w:spacing w:val="-1"/>
          <w:position w:val="16"/>
        </w:rPr>
        <w:t>或原研地产化产品（如无，则提供参比制剂）</w:t>
      </w:r>
    </w:p>
    <w:p>
      <w:pPr>
        <w:pStyle w:val="2"/>
        <w:spacing w:before="1" w:line="218" w:lineRule="auto"/>
        <w:ind w:left="27"/>
      </w:pPr>
      <w:r>
        <w:rPr>
          <w:spacing w:val="-2"/>
        </w:rPr>
        <w:t>说明书中药代动力学部分的相关内容，列明说明书的出处及修订日期。</w:t>
      </w:r>
    </w:p>
    <w:p>
      <w:pPr>
        <w:pStyle w:val="2"/>
        <w:spacing w:before="181" w:line="219" w:lineRule="auto"/>
        <w:ind w:left="19"/>
        <w:outlineLvl w:val="0"/>
      </w:pPr>
      <w:r>
        <w:rPr>
          <w:rFonts w:ascii="Times New Roman" w:hAnsi="Times New Roman" w:eastAsia="Times New Roman" w:cs="Times New Roman"/>
          <w:b/>
          <w:bCs/>
        </w:rPr>
        <w:t>3.</w:t>
      </w:r>
      <w:r>
        <w:rPr>
          <w14:textOutline w14:w="4354" w14:cap="flat" w14:cmpd="sng">
            <w14:solidFill>
              <w14:srgbClr w14:val="000000"/>
            </w14:solidFill>
            <w14:prstDash w14:val="solid"/>
            <w14:miter w14:val="10"/>
          </w14:textOutline>
        </w:rPr>
        <w:t>生物药剂学分类</w:t>
      </w:r>
    </w:p>
    <w:p>
      <w:pPr>
        <w:pStyle w:val="2"/>
        <w:spacing w:before="234" w:line="219" w:lineRule="auto"/>
        <w:ind w:left="509"/>
      </w:pPr>
      <w:r>
        <w:rPr>
          <w:spacing w:val="-3"/>
        </w:rPr>
        <w:t>简述研究药物的</w:t>
      </w:r>
      <w:r>
        <w:rPr>
          <w:rFonts w:ascii="Times New Roman" w:hAnsi="Times New Roman" w:eastAsia="Times New Roman" w:cs="Times New Roman"/>
          <w:spacing w:val="-3"/>
        </w:rPr>
        <w:t>BCS</w:t>
      </w:r>
      <w:r>
        <w:rPr>
          <w:spacing w:val="-3"/>
        </w:rPr>
        <w:t>分类，说明信息来源。</w:t>
      </w:r>
    </w:p>
    <w:p>
      <w:pPr>
        <w:pStyle w:val="2"/>
        <w:spacing w:before="186" w:line="219" w:lineRule="auto"/>
        <w:ind w:left="21"/>
        <w:outlineLvl w:val="0"/>
      </w:pPr>
      <w:r>
        <w:rPr>
          <w:rFonts w:ascii="Times New Roman" w:hAnsi="Times New Roman" w:eastAsia="Times New Roman" w:cs="Times New Roman"/>
          <w:b/>
          <w:bCs/>
        </w:rPr>
        <w:t>4.</w:t>
      </w:r>
      <w:r>
        <w:rPr>
          <w14:textOutline w14:w="4354" w14:cap="flat" w14:cmpd="sng">
            <w14:solidFill>
              <w14:srgbClr w14:val="000000"/>
            </w14:solidFill>
            <w14:prstDash w14:val="solid"/>
            <w14:miter w14:val="10"/>
          </w14:textOutline>
        </w:rPr>
        <w:t>国内本品生物等效性研究技术指导原则</w:t>
      </w:r>
    </w:p>
    <w:p>
      <w:pPr>
        <w:pStyle w:val="2"/>
        <w:spacing w:before="228" w:line="219" w:lineRule="auto"/>
        <w:ind w:left="509"/>
      </w:pPr>
      <w:r>
        <w:rPr>
          <w:spacing w:val="-2"/>
        </w:rPr>
        <w:t>简述国内本品生物等效性研究技术指导原则的相关信息。</w:t>
      </w:r>
    </w:p>
    <w:p>
      <w:pPr>
        <w:pStyle w:val="2"/>
        <w:spacing w:before="149" w:line="220" w:lineRule="auto"/>
        <w:ind w:left="2176"/>
        <w:rPr>
          <w:sz w:val="21"/>
          <w:szCs w:val="21"/>
        </w:rPr>
      </w:pPr>
      <w:r>
        <w:rPr>
          <w:sz w:val="21"/>
          <w:szCs w:val="21"/>
          <w14:textOutline w14:w="3831" w14:cap="flat" w14:cmpd="sng">
            <w14:solidFill>
              <w14:srgbClr w14:val="000000"/>
            </w14:solidFill>
            <w14:prstDash w14:val="solid"/>
            <w14:miter w14:val="10"/>
          </w14:textOutline>
        </w:rPr>
        <w:t>药物生物等效性研究指导原则信息（示例）</w:t>
      </w:r>
    </w:p>
    <w:p>
      <w:pPr>
        <w:spacing w:line="133"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1"/>
        <w:gridCol w:w="5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1" w:type="dxa"/>
            <w:vAlign w:val="top"/>
          </w:tcPr>
          <w:p>
            <w:pPr>
              <w:pStyle w:val="6"/>
              <w:spacing w:before="135" w:line="220" w:lineRule="auto"/>
              <w:ind w:left="118"/>
            </w:pPr>
            <w:r>
              <w:rPr>
                <w:spacing w:val="-1"/>
                <w14:textOutline w14:w="3831" w14:cap="flat" w14:cmpd="sng">
                  <w14:solidFill>
                    <w14:srgbClr w14:val="000000"/>
                  </w14:solidFill>
                  <w14:prstDash w14:val="solid"/>
                  <w14:miter w14:val="10"/>
                </w14:textOutline>
              </w:rPr>
              <w:t>研究类型</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1" w:type="dxa"/>
            <w:vAlign w:val="top"/>
          </w:tcPr>
          <w:p>
            <w:pPr>
              <w:pStyle w:val="6"/>
              <w:spacing w:before="130" w:line="221" w:lineRule="auto"/>
              <w:ind w:left="122"/>
            </w:pPr>
            <w:r>
              <w:rPr>
                <w:spacing w:val="-2"/>
                <w14:textOutline w14:w="3831" w14:cap="flat" w14:cmpd="sng">
                  <w14:solidFill>
                    <w14:srgbClr w14:val="000000"/>
                  </w14:solidFill>
                  <w14:prstDash w14:val="solid"/>
                  <w14:miter w14:val="10"/>
                </w14:textOutline>
              </w:rPr>
              <w:t>受试人群</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31" w:type="dxa"/>
            <w:vAlign w:val="top"/>
          </w:tcPr>
          <w:p>
            <w:pPr>
              <w:pStyle w:val="6"/>
              <w:spacing w:before="132" w:line="220" w:lineRule="auto"/>
              <w:ind w:left="119"/>
            </w:pPr>
            <w:r>
              <w:rPr>
                <w:spacing w:val="-1"/>
                <w14:textOutline w14:w="3831" w14:cap="flat" w14:cmpd="sng">
                  <w14:solidFill>
                    <w14:srgbClr w14:val="000000"/>
                  </w14:solidFill>
                  <w14:prstDash w14:val="solid"/>
                  <w14:miter w14:val="10"/>
                </w14:textOutline>
              </w:rPr>
              <w:t>给药剂量</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1" w:type="dxa"/>
            <w:vAlign w:val="top"/>
          </w:tcPr>
          <w:p>
            <w:pPr>
              <w:pStyle w:val="6"/>
              <w:spacing w:before="138" w:line="221" w:lineRule="auto"/>
              <w:ind w:left="119"/>
            </w:pPr>
            <w:r>
              <w:rPr>
                <w:spacing w:val="-1"/>
                <w14:textOutline w14:w="3831" w14:cap="flat" w14:cmpd="sng">
                  <w14:solidFill>
                    <w14:srgbClr w14:val="000000"/>
                  </w14:solidFill>
                  <w14:prstDash w14:val="solid"/>
                  <w14:miter w14:val="10"/>
                </w14:textOutline>
              </w:rPr>
              <w:t>给药方法</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31" w:type="dxa"/>
            <w:vAlign w:val="top"/>
          </w:tcPr>
          <w:p>
            <w:pPr>
              <w:pStyle w:val="6"/>
              <w:spacing w:before="134" w:line="220" w:lineRule="auto"/>
              <w:ind w:left="120"/>
            </w:pPr>
            <w:r>
              <w:rPr>
                <w:spacing w:val="-1"/>
                <w14:textOutline w14:w="3831" w14:cap="flat" w14:cmpd="sng">
                  <w14:solidFill>
                    <w14:srgbClr w14:val="000000"/>
                  </w14:solidFill>
                  <w14:prstDash w14:val="solid"/>
                  <w14:miter w14:val="10"/>
                </w14:textOutline>
              </w:rPr>
              <w:t>血样采集</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31" w:type="dxa"/>
            <w:vAlign w:val="top"/>
          </w:tcPr>
          <w:p>
            <w:pPr>
              <w:pStyle w:val="6"/>
              <w:spacing w:before="133" w:line="221" w:lineRule="auto"/>
              <w:ind w:left="118"/>
            </w:pPr>
            <w:r>
              <w:rPr>
                <w:spacing w:val="-1"/>
                <w14:textOutline w14:w="3831" w14:cap="flat" w14:cmpd="sng">
                  <w14:solidFill>
                    <w14:srgbClr w14:val="000000"/>
                  </w14:solidFill>
                  <w14:prstDash w14:val="solid"/>
                  <w14:miter w14:val="10"/>
                </w14:textOutline>
              </w:rPr>
              <w:t>检测物质</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31" w:type="dxa"/>
            <w:vAlign w:val="top"/>
          </w:tcPr>
          <w:p>
            <w:pPr>
              <w:pStyle w:val="6"/>
              <w:spacing w:before="134" w:line="219" w:lineRule="auto"/>
              <w:ind w:left="120"/>
            </w:pPr>
            <w:r>
              <w:rPr>
                <w:spacing w:val="-1"/>
                <w14:textOutline w14:w="3831" w14:cap="flat" w14:cmpd="sng">
                  <w14:solidFill>
                    <w14:srgbClr w14:val="000000"/>
                  </w14:solidFill>
                  <w14:prstDash w14:val="solid"/>
                  <w14:miter w14:val="10"/>
                </w14:textOutline>
              </w:rPr>
              <w:t>生物等效性评价</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31" w:type="dxa"/>
            <w:vAlign w:val="top"/>
          </w:tcPr>
          <w:p>
            <w:pPr>
              <w:pStyle w:val="6"/>
              <w:spacing w:before="134" w:line="220" w:lineRule="auto"/>
              <w:ind w:left="120"/>
            </w:pPr>
            <w:r>
              <w:rPr>
                <w14:textOutline w14:w="3831" w14:cap="flat" w14:cmpd="sng">
                  <w14:solidFill>
                    <w14:srgbClr w14:val="000000"/>
                  </w14:solidFill>
                  <w14:prstDash w14:val="solid"/>
                  <w14:miter w14:val="10"/>
                </w14:textOutline>
              </w:rPr>
              <w:t>人体生物等效性研究豁免</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31" w:type="dxa"/>
            <w:vAlign w:val="top"/>
          </w:tcPr>
          <w:p>
            <w:pPr>
              <w:pStyle w:val="6"/>
              <w:spacing w:before="134" w:line="220" w:lineRule="auto"/>
              <w:ind w:left="119"/>
            </w:pPr>
            <w:r>
              <w:rPr>
                <w:spacing w:val="-1"/>
                <w14:textOutline w14:w="3831" w14:cap="flat" w14:cmpd="sng">
                  <w14:solidFill>
                    <w14:srgbClr w14:val="000000"/>
                  </w14:solidFill>
                  <w14:prstDash w14:val="solid"/>
                  <w14:miter w14:val="10"/>
                </w14:textOutline>
              </w:rPr>
              <w:t>其他考虑</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831" w:type="dxa"/>
            <w:vAlign w:val="top"/>
          </w:tcPr>
          <w:p>
            <w:pPr>
              <w:spacing w:before="173" w:line="230" w:lineRule="auto"/>
              <w:ind w:left="128"/>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w:t>
            </w:r>
          </w:p>
        </w:tc>
        <w:tc>
          <w:tcPr>
            <w:tcW w:w="5471" w:type="dxa"/>
            <w:vAlign w:val="top"/>
          </w:tcPr>
          <w:p>
            <w:pPr>
              <w:rPr>
                <w:rFonts w:ascii="Arial"/>
                <w:sz w:val="21"/>
              </w:rPr>
            </w:pPr>
          </w:p>
        </w:tc>
      </w:tr>
    </w:tbl>
    <w:p>
      <w:pPr>
        <w:pStyle w:val="2"/>
        <w:spacing w:before="269" w:line="560" w:lineRule="exact"/>
        <w:ind w:left="23"/>
      </w:pPr>
      <w:r>
        <w:rPr>
          <w:rFonts w:ascii="Times New Roman" w:hAnsi="Times New Roman" w:eastAsia="Times New Roman" w:cs="Times New Roman"/>
          <w:b/>
          <w:bCs/>
          <w:position w:val="24"/>
        </w:rPr>
        <w:t>5.</w:t>
      </w:r>
      <w:r>
        <w:rPr>
          <w:position w:val="24"/>
          <w14:textOutline w14:w="4354" w14:cap="flat" w14:cmpd="sng">
            <w14:solidFill>
              <w14:srgbClr w14:val="000000"/>
            </w14:solidFill>
            <w14:prstDash w14:val="solid"/>
            <w14:miter w14:val="10"/>
          </w14:textOutline>
        </w:rPr>
        <w:t>国外本品生物等效性研究指导原则发布情况</w:t>
      </w:r>
    </w:p>
    <w:p>
      <w:pPr>
        <w:spacing w:line="188" w:lineRule="auto"/>
        <w:ind w:left="23"/>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5.1</w:t>
      </w:r>
      <w:r>
        <w:rPr>
          <w:rFonts w:ascii="Times New Roman" w:hAnsi="Times New Roman" w:eastAsia="Times New Roman" w:cs="Times New Roman"/>
          <w:b/>
          <w:bCs/>
          <w:spacing w:val="11"/>
          <w:sz w:val="24"/>
          <w:szCs w:val="24"/>
        </w:rPr>
        <w:t xml:space="preserve"> </w:t>
      </w:r>
      <w:r>
        <w:rPr>
          <w:rFonts w:ascii="Times New Roman" w:hAnsi="Times New Roman" w:eastAsia="Times New Roman" w:cs="Times New Roman"/>
          <w:b/>
          <w:bCs/>
          <w:spacing w:val="-3"/>
          <w:sz w:val="24"/>
          <w:szCs w:val="24"/>
        </w:rPr>
        <w:t>FDA</w:t>
      </w:r>
    </w:p>
    <w:p>
      <w:pPr>
        <w:spacing w:line="188" w:lineRule="auto"/>
        <w:rPr>
          <w:rFonts w:ascii="Times New Roman" w:hAnsi="Times New Roman" w:eastAsia="Times New Roman" w:cs="Times New Roman"/>
          <w:sz w:val="24"/>
          <w:szCs w:val="24"/>
        </w:rPr>
        <w:sectPr>
          <w:pgSz w:w="11905" w:h="16839"/>
          <w:pgMar w:top="1431" w:right="1785" w:bottom="0" w:left="1785" w:header="0" w:footer="0" w:gutter="0"/>
          <w:cols w:space="720" w:num="1"/>
        </w:sectPr>
      </w:pPr>
    </w:p>
    <w:p>
      <w:pPr>
        <w:pStyle w:val="2"/>
        <w:spacing w:before="124" w:line="219" w:lineRule="auto"/>
        <w:ind w:left="507"/>
      </w:pPr>
      <w:r>
        <w:rPr>
          <w:spacing w:val="-3"/>
        </w:rPr>
        <w:t>说明</w:t>
      </w:r>
      <w:r>
        <w:rPr>
          <w:rFonts w:ascii="Times New Roman" w:hAnsi="Times New Roman" w:eastAsia="Times New Roman" w:cs="Times New Roman"/>
          <w:spacing w:val="-3"/>
        </w:rPr>
        <w:t>FDA</w:t>
      </w:r>
      <w:r>
        <w:rPr>
          <w:spacing w:val="-3"/>
        </w:rPr>
        <w:t>橙皮书推荐的</w:t>
      </w:r>
      <w:r>
        <w:rPr>
          <w:rFonts w:ascii="Times New Roman" w:hAnsi="Times New Roman" w:eastAsia="Times New Roman" w:cs="Times New Roman"/>
          <w:spacing w:val="-3"/>
        </w:rPr>
        <w:t>RLD</w:t>
      </w:r>
      <w:r>
        <w:rPr>
          <w:spacing w:val="-3"/>
        </w:rPr>
        <w:t>和</w:t>
      </w:r>
      <w:r>
        <w:rPr>
          <w:rFonts w:ascii="Times New Roman" w:hAnsi="Times New Roman" w:eastAsia="Times New Roman" w:cs="Times New Roman"/>
          <w:spacing w:val="-3"/>
        </w:rPr>
        <w:t>RS</w:t>
      </w:r>
      <w:r>
        <w:rPr>
          <w:spacing w:val="-3"/>
        </w:rPr>
        <w:t>情况。</w:t>
      </w:r>
    </w:p>
    <w:p>
      <w:pPr>
        <w:pStyle w:val="2"/>
        <w:spacing w:before="229" w:line="471" w:lineRule="exact"/>
        <w:ind w:left="509"/>
      </w:pPr>
      <w:r>
        <w:rPr>
          <w:spacing w:val="-1"/>
          <w:position w:val="17"/>
        </w:rPr>
        <w:t>简述</w:t>
      </w:r>
      <w:r>
        <w:rPr>
          <w:rFonts w:ascii="Times New Roman" w:hAnsi="Times New Roman" w:eastAsia="Times New Roman" w:cs="Times New Roman"/>
          <w:spacing w:val="-1"/>
          <w:position w:val="17"/>
        </w:rPr>
        <w:t>FDA</w:t>
      </w:r>
      <w:r>
        <w:rPr>
          <w:spacing w:val="-1"/>
          <w:position w:val="17"/>
        </w:rPr>
        <w:t>最新发布的本品生物等效性研究指导原则相关信息，注明发布时</w:t>
      </w:r>
    </w:p>
    <w:p>
      <w:pPr>
        <w:pStyle w:val="2"/>
        <w:spacing w:line="219" w:lineRule="auto"/>
        <w:ind w:left="43"/>
      </w:pPr>
      <w:r>
        <w:rPr>
          <w:spacing w:val="-4"/>
        </w:rPr>
        <w:t>间、对应的</w:t>
      </w:r>
      <w:r>
        <w:rPr>
          <w:rFonts w:ascii="Times New Roman" w:hAnsi="Times New Roman" w:eastAsia="Times New Roman" w:cs="Times New Roman"/>
          <w:spacing w:val="-4"/>
        </w:rPr>
        <w:t>RLD</w:t>
      </w:r>
      <w:r>
        <w:rPr>
          <w:spacing w:val="-4"/>
        </w:rPr>
        <w:t>或</w:t>
      </w:r>
      <w:r>
        <w:rPr>
          <w:rFonts w:ascii="Times New Roman" w:hAnsi="Times New Roman" w:eastAsia="Times New Roman" w:cs="Times New Roman"/>
          <w:spacing w:val="-4"/>
        </w:rPr>
        <w:t>RS</w:t>
      </w:r>
      <w:r>
        <w:rPr>
          <w:spacing w:val="-4"/>
        </w:rPr>
        <w:t>编号等。</w:t>
      </w:r>
    </w:p>
    <w:p>
      <w:pPr>
        <w:pStyle w:val="2"/>
        <w:spacing w:before="147" w:line="220" w:lineRule="auto"/>
        <w:ind w:left="2176"/>
        <w:rPr>
          <w:sz w:val="21"/>
          <w:szCs w:val="21"/>
        </w:rPr>
      </w:pPr>
      <w:r>
        <w:rPr>
          <w:sz w:val="21"/>
          <w:szCs w:val="21"/>
          <w14:textOutline w14:w="3831" w14:cap="flat" w14:cmpd="sng">
            <w14:solidFill>
              <w14:srgbClr w14:val="000000"/>
            </w14:solidFill>
            <w14:prstDash w14:val="solid"/>
            <w14:miter w14:val="10"/>
          </w14:textOutline>
        </w:rPr>
        <w:t>药物生物等效性研究指导原则信息（示例）</w:t>
      </w:r>
    </w:p>
    <w:p>
      <w:pPr>
        <w:spacing w:line="128"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1"/>
        <w:gridCol w:w="5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831" w:type="dxa"/>
            <w:vAlign w:val="top"/>
          </w:tcPr>
          <w:p>
            <w:pPr>
              <w:pStyle w:val="6"/>
              <w:spacing w:before="125" w:line="220" w:lineRule="auto"/>
              <w:ind w:left="118"/>
            </w:pPr>
            <w:r>
              <w:rPr>
                <w:spacing w:val="-1"/>
                <w14:textOutline w14:w="3831" w14:cap="flat" w14:cmpd="sng">
                  <w14:solidFill>
                    <w14:srgbClr w14:val="000000"/>
                  </w14:solidFill>
                  <w14:prstDash w14:val="solid"/>
                  <w14:miter w14:val="10"/>
                </w14:textOutline>
              </w:rPr>
              <w:t>研究类型</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831" w:type="dxa"/>
            <w:vAlign w:val="top"/>
          </w:tcPr>
          <w:p>
            <w:pPr>
              <w:pStyle w:val="6"/>
              <w:spacing w:before="121" w:line="220" w:lineRule="auto"/>
              <w:ind w:left="118"/>
            </w:pPr>
            <w:r>
              <w:rPr>
                <w:spacing w:val="-1"/>
                <w14:textOutline w14:w="3831" w14:cap="flat" w14:cmpd="sng">
                  <w14:solidFill>
                    <w14:srgbClr w14:val="000000"/>
                  </w14:solidFill>
                  <w14:prstDash w14:val="solid"/>
                  <w14:miter w14:val="10"/>
                </w14:textOutline>
              </w:rPr>
              <w:t>研究设计</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31" w:type="dxa"/>
            <w:vAlign w:val="top"/>
          </w:tcPr>
          <w:p>
            <w:pPr>
              <w:pStyle w:val="6"/>
              <w:spacing w:before="122" w:line="220" w:lineRule="auto"/>
              <w:ind w:left="119"/>
            </w:pPr>
            <w:r>
              <w:rPr>
                <w:spacing w:val="-1"/>
                <w14:textOutline w14:w="3831" w14:cap="flat" w14:cmpd="sng">
                  <w14:solidFill>
                    <w14:srgbClr w14:val="000000"/>
                  </w14:solidFill>
                  <w14:prstDash w14:val="solid"/>
                  <w14:miter w14:val="10"/>
                </w14:textOutline>
              </w:rPr>
              <w:t>制剂规格</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831" w:type="dxa"/>
            <w:vAlign w:val="top"/>
          </w:tcPr>
          <w:p>
            <w:pPr>
              <w:pStyle w:val="6"/>
              <w:spacing w:before="122" w:line="222" w:lineRule="auto"/>
              <w:ind w:left="122"/>
            </w:pPr>
            <w:r>
              <w:rPr>
                <w:spacing w:val="-2"/>
                <w14:textOutline w14:w="3831" w14:cap="flat" w14:cmpd="sng">
                  <w14:solidFill>
                    <w14:srgbClr w14:val="000000"/>
                  </w14:solidFill>
                  <w14:prstDash w14:val="solid"/>
                  <w14:miter w14:val="10"/>
                </w14:textOutline>
              </w:rPr>
              <w:t>受试者</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831" w:type="dxa"/>
            <w:vAlign w:val="top"/>
          </w:tcPr>
          <w:p>
            <w:pPr>
              <w:pStyle w:val="6"/>
              <w:spacing w:before="123" w:line="221" w:lineRule="auto"/>
              <w:ind w:left="119"/>
            </w:pPr>
            <w:r>
              <w:rPr>
                <w:spacing w:val="-1"/>
                <w14:textOutline w14:w="3831" w14:cap="flat" w14:cmpd="sng">
                  <w14:solidFill>
                    <w14:srgbClr w14:val="000000"/>
                  </w14:solidFill>
                  <w14:prstDash w14:val="solid"/>
                  <w14:miter w14:val="10"/>
                </w14:textOutline>
              </w:rPr>
              <w:t>其他要求</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31" w:type="dxa"/>
            <w:vAlign w:val="top"/>
          </w:tcPr>
          <w:p>
            <w:pPr>
              <w:pStyle w:val="6"/>
              <w:spacing w:before="123" w:line="221" w:lineRule="auto"/>
              <w:ind w:left="120"/>
            </w:pPr>
            <w:r>
              <w:rPr>
                <w:spacing w:val="-2"/>
                <w14:textOutline w14:w="3831" w14:cap="flat" w14:cmpd="sng">
                  <w14:solidFill>
                    <w14:srgbClr w14:val="000000"/>
                  </w14:solidFill>
                  <w14:prstDash w14:val="solid"/>
                  <w14:miter w14:val="10"/>
                </w14:textOutline>
              </w:rPr>
              <w:t>待测物</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831" w:type="dxa"/>
            <w:vAlign w:val="top"/>
          </w:tcPr>
          <w:p>
            <w:pPr>
              <w:pStyle w:val="6"/>
              <w:spacing w:before="124" w:line="221" w:lineRule="auto"/>
              <w:ind w:left="120"/>
            </w:pPr>
            <w:r>
              <w:rPr>
                <w14:textOutline w14:w="3831" w14:cap="flat" w14:cmpd="sng">
                  <w14:solidFill>
                    <w14:srgbClr w14:val="000000"/>
                  </w14:solidFill>
                  <w14:prstDash w14:val="solid"/>
                  <w14:miter w14:val="10"/>
                </w14:textOutline>
              </w:rPr>
              <w:t>生物等效性判定对象</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831" w:type="dxa"/>
            <w:vAlign w:val="top"/>
          </w:tcPr>
          <w:p>
            <w:pPr>
              <w:pStyle w:val="6"/>
              <w:spacing w:before="125" w:line="220" w:lineRule="auto"/>
              <w:ind w:left="118"/>
            </w:pPr>
            <w:r>
              <w:rPr>
                <w14:textOutline w14:w="3831" w14:cap="flat" w14:cmpd="sng">
                  <w14:solidFill>
                    <w14:srgbClr w14:val="000000"/>
                  </w14:solidFill>
                  <w14:prstDash w14:val="solid"/>
                  <w14:miter w14:val="10"/>
                </w14:textOutline>
              </w:rPr>
              <w:t>体内研究可豁免规格</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831" w:type="dxa"/>
            <w:vAlign w:val="top"/>
          </w:tcPr>
          <w:p>
            <w:pPr>
              <w:pStyle w:val="6"/>
              <w:spacing w:before="126" w:line="221" w:lineRule="auto"/>
              <w:ind w:left="114"/>
            </w:pPr>
            <w:r>
              <w:rPr>
                <w:rFonts w:ascii="Times New Roman" w:hAnsi="Times New Roman" w:eastAsia="Times New Roman" w:cs="Times New Roman"/>
                <w:b/>
                <w:bCs/>
                <w:spacing w:val="-1"/>
              </w:rPr>
              <w:t xml:space="preserve">BCS </w:t>
            </w:r>
            <w:r>
              <w:rPr>
                <w:spacing w:val="-1"/>
                <w14:textOutline w14:w="3831" w14:cap="flat" w14:cmpd="sng">
                  <w14:solidFill>
                    <w14:srgbClr w14:val="000000"/>
                  </w14:solidFill>
                  <w14:prstDash w14:val="solid"/>
                  <w14:miter w14:val="10"/>
                </w14:textOutline>
              </w:rPr>
              <w:t>豁免</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831" w:type="dxa"/>
            <w:vAlign w:val="top"/>
          </w:tcPr>
          <w:p>
            <w:pPr>
              <w:spacing w:before="169" w:line="230" w:lineRule="auto"/>
              <w:ind w:left="128"/>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w:t>
            </w:r>
          </w:p>
        </w:tc>
        <w:tc>
          <w:tcPr>
            <w:tcW w:w="5471" w:type="dxa"/>
            <w:vAlign w:val="top"/>
          </w:tcPr>
          <w:p>
            <w:pPr>
              <w:rPr>
                <w:rFonts w:ascii="Arial"/>
                <w:sz w:val="21"/>
              </w:rPr>
            </w:pPr>
          </w:p>
        </w:tc>
      </w:tr>
    </w:tbl>
    <w:p>
      <w:pPr>
        <w:pStyle w:val="2"/>
        <w:spacing w:before="115" w:line="219" w:lineRule="auto"/>
        <w:ind w:left="508"/>
      </w:pPr>
      <w:r>
        <w:rPr>
          <w:spacing w:val="-4"/>
        </w:rPr>
        <w:t>如未发布，则予以说明。</w:t>
      </w:r>
    </w:p>
    <w:p>
      <w:pPr>
        <w:spacing w:before="227" w:line="188" w:lineRule="auto"/>
        <w:ind w:left="23"/>
        <w:outlineLvl w:val="1"/>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5.2 EMA</w:t>
      </w:r>
    </w:p>
    <w:p>
      <w:pPr>
        <w:pStyle w:val="2"/>
        <w:spacing w:before="208" w:line="470" w:lineRule="exact"/>
        <w:ind w:left="509"/>
      </w:pPr>
      <w:r>
        <w:rPr>
          <w:spacing w:val="-1"/>
          <w:position w:val="17"/>
        </w:rPr>
        <w:t>简述</w:t>
      </w:r>
      <w:r>
        <w:rPr>
          <w:rFonts w:ascii="Times New Roman" w:hAnsi="Times New Roman" w:eastAsia="Times New Roman" w:cs="Times New Roman"/>
          <w:spacing w:val="-1"/>
          <w:position w:val="17"/>
        </w:rPr>
        <w:t>EMA</w:t>
      </w:r>
      <w:r>
        <w:rPr>
          <w:spacing w:val="-1"/>
          <w:position w:val="17"/>
        </w:rPr>
        <w:t>最新发布的本品生物等效性研究指导原则相关信息，注明发布时</w:t>
      </w:r>
    </w:p>
    <w:p>
      <w:pPr>
        <w:pStyle w:val="2"/>
        <w:spacing w:before="1" w:line="222" w:lineRule="auto"/>
        <w:ind w:left="43"/>
      </w:pPr>
      <w:r>
        <w:rPr>
          <w:spacing w:val="-16"/>
        </w:rPr>
        <w:t>间。</w:t>
      </w:r>
    </w:p>
    <w:p>
      <w:pPr>
        <w:pStyle w:val="2"/>
        <w:spacing w:before="230" w:line="220" w:lineRule="auto"/>
        <w:ind w:left="2176"/>
        <w:rPr>
          <w:sz w:val="21"/>
          <w:szCs w:val="21"/>
        </w:rPr>
      </w:pPr>
      <w:r>
        <w:rPr>
          <w:sz w:val="21"/>
          <w:szCs w:val="21"/>
          <w14:textOutline w14:w="3831" w14:cap="flat" w14:cmpd="sng">
            <w14:solidFill>
              <w14:srgbClr w14:val="000000"/>
            </w14:solidFill>
            <w14:prstDash w14:val="solid"/>
            <w14:miter w14:val="10"/>
          </w14:textOutline>
        </w:rPr>
        <w:t>药物生物等效性研究指导原则信息（示例）</w:t>
      </w:r>
    </w:p>
    <w:p>
      <w:pPr>
        <w:spacing w:line="133"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1"/>
        <w:gridCol w:w="5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31" w:type="dxa"/>
            <w:vAlign w:val="top"/>
          </w:tcPr>
          <w:p>
            <w:pPr>
              <w:pStyle w:val="6"/>
              <w:spacing w:before="135" w:line="221" w:lineRule="auto"/>
              <w:ind w:left="114"/>
            </w:pPr>
            <w:r>
              <w:rPr>
                <w:rFonts w:ascii="Times New Roman" w:hAnsi="Times New Roman" w:eastAsia="Times New Roman" w:cs="Times New Roman"/>
                <w:b/>
                <w:bCs/>
              </w:rPr>
              <w:t xml:space="preserve">BCS </w:t>
            </w:r>
            <w:r>
              <w:rPr>
                <w14:textOutline w14:w="3831" w14:cap="flat" w14:cmpd="sng">
                  <w14:solidFill>
                    <w14:srgbClr w14:val="000000"/>
                  </w14:solidFill>
                  <w14:prstDash w14:val="solid"/>
                  <w14:miter w14:val="10"/>
                </w14:textOutline>
              </w:rPr>
              <w:t>分类</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831" w:type="dxa"/>
            <w:vAlign w:val="top"/>
          </w:tcPr>
          <w:p>
            <w:pPr>
              <w:pStyle w:val="6"/>
              <w:spacing w:before="131" w:line="220" w:lineRule="auto"/>
              <w:ind w:left="120"/>
            </w:pPr>
            <w:r>
              <w:rPr>
                <w14:textOutline w14:w="3831" w14:cap="flat" w14:cmpd="sng">
                  <w14:solidFill>
                    <w14:srgbClr w14:val="000000"/>
                  </w14:solidFill>
                  <w14:prstDash w14:val="solid"/>
                  <w14:miter w14:val="10"/>
                </w14:textOutline>
              </w:rPr>
              <w:t>生物等效性研究设计</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1" w:type="dxa"/>
            <w:vAlign w:val="top"/>
          </w:tcPr>
          <w:p>
            <w:pPr>
              <w:pStyle w:val="6"/>
              <w:spacing w:before="132" w:line="221" w:lineRule="auto"/>
              <w:ind w:left="120"/>
            </w:pPr>
            <w:r>
              <w:rPr>
                <w:spacing w:val="-2"/>
                <w14:textOutline w14:w="3831" w14:cap="flat" w14:cmpd="sng">
                  <w14:solidFill>
                    <w14:srgbClr w14:val="000000"/>
                  </w14:solidFill>
                  <w14:prstDash w14:val="solid"/>
                  <w14:miter w14:val="10"/>
                </w14:textOutline>
              </w:rPr>
              <w:t>待测物</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1" w:type="dxa"/>
            <w:vAlign w:val="top"/>
          </w:tcPr>
          <w:p>
            <w:pPr>
              <w:pStyle w:val="6"/>
              <w:spacing w:before="134" w:line="219" w:lineRule="auto"/>
              <w:ind w:left="120"/>
            </w:pPr>
            <w:r>
              <w:rPr>
                <w:spacing w:val="-1"/>
                <w14:textOutline w14:w="3831" w14:cap="flat" w14:cmpd="sng">
                  <w14:solidFill>
                    <w14:srgbClr w14:val="000000"/>
                  </w14:solidFill>
                  <w14:prstDash w14:val="solid"/>
                  <w14:miter w14:val="10"/>
                </w14:textOutline>
              </w:rPr>
              <w:t>生物等效性评价</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1" w:type="dxa"/>
            <w:vAlign w:val="top"/>
          </w:tcPr>
          <w:p>
            <w:pPr>
              <w:spacing w:before="173" w:line="230" w:lineRule="auto"/>
              <w:ind w:left="128"/>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w:t>
            </w:r>
          </w:p>
        </w:tc>
        <w:tc>
          <w:tcPr>
            <w:tcW w:w="5471" w:type="dxa"/>
            <w:vAlign w:val="top"/>
          </w:tcPr>
          <w:p>
            <w:pPr>
              <w:rPr>
                <w:rFonts w:ascii="Arial"/>
                <w:sz w:val="21"/>
              </w:rPr>
            </w:pPr>
          </w:p>
        </w:tc>
      </w:tr>
    </w:tbl>
    <w:p>
      <w:pPr>
        <w:pStyle w:val="2"/>
        <w:spacing w:before="115" w:line="219" w:lineRule="auto"/>
        <w:ind w:left="508"/>
      </w:pPr>
      <w:r>
        <w:rPr>
          <w:spacing w:val="-4"/>
        </w:rPr>
        <w:t>如未发布，则予以说明。</w:t>
      </w:r>
    </w:p>
    <w:p>
      <w:pPr>
        <w:spacing w:before="175" w:line="188" w:lineRule="auto"/>
        <w:ind w:left="23"/>
        <w:outlineLvl w:val="1"/>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5.3 WHO</w:t>
      </w:r>
    </w:p>
    <w:p>
      <w:pPr>
        <w:pStyle w:val="2"/>
        <w:spacing w:before="256" w:line="470" w:lineRule="exact"/>
        <w:ind w:right="11"/>
        <w:jc w:val="right"/>
      </w:pPr>
      <w:r>
        <w:rPr>
          <w:spacing w:val="-6"/>
          <w:position w:val="17"/>
        </w:rPr>
        <w:t>简述</w:t>
      </w:r>
      <w:r>
        <w:rPr>
          <w:spacing w:val="-53"/>
          <w:position w:val="17"/>
        </w:rPr>
        <w:t xml:space="preserve"> </w:t>
      </w:r>
      <w:r>
        <w:rPr>
          <w:rFonts w:ascii="Times New Roman" w:hAnsi="Times New Roman" w:eastAsia="Times New Roman" w:cs="Times New Roman"/>
          <w:spacing w:val="-6"/>
          <w:position w:val="17"/>
        </w:rPr>
        <w:t xml:space="preserve">WHO </w:t>
      </w:r>
      <w:r>
        <w:rPr>
          <w:spacing w:val="-6"/>
          <w:position w:val="17"/>
        </w:rPr>
        <w:t>最新发布的本品生物等效性研究指导原则相关信息， 注明发布时</w:t>
      </w:r>
    </w:p>
    <w:p>
      <w:pPr>
        <w:pStyle w:val="2"/>
        <w:spacing w:before="1" w:line="222" w:lineRule="auto"/>
        <w:ind w:left="43"/>
      </w:pPr>
      <w:r>
        <w:rPr>
          <w:spacing w:val="-16"/>
        </w:rPr>
        <w:t>间。</w:t>
      </w:r>
    </w:p>
    <w:p>
      <w:pPr>
        <w:pStyle w:val="2"/>
        <w:spacing w:before="230" w:line="220" w:lineRule="auto"/>
        <w:ind w:left="2176"/>
        <w:rPr>
          <w:sz w:val="21"/>
          <w:szCs w:val="21"/>
        </w:rPr>
      </w:pPr>
      <w:r>
        <w:rPr>
          <w:sz w:val="21"/>
          <w:szCs w:val="21"/>
          <w14:textOutline w14:w="3831" w14:cap="flat" w14:cmpd="sng">
            <w14:solidFill>
              <w14:srgbClr w14:val="000000"/>
            </w14:solidFill>
            <w14:prstDash w14:val="solid"/>
            <w14:miter w14:val="10"/>
          </w14:textOutline>
        </w:rPr>
        <w:t>药物生物等效性研究指导原则信息（示例）</w:t>
      </w:r>
    </w:p>
    <w:p>
      <w:pPr>
        <w:spacing w:line="220" w:lineRule="auto"/>
        <w:rPr>
          <w:sz w:val="21"/>
          <w:szCs w:val="21"/>
        </w:rPr>
        <w:sectPr>
          <w:pgSz w:w="11905" w:h="16839"/>
          <w:pgMar w:top="1431" w:right="1785" w:bottom="0" w:left="1785" w:header="0" w:footer="0" w:gutter="0"/>
          <w:cols w:space="720" w:num="1"/>
        </w:sectPr>
      </w:pPr>
    </w:p>
    <w:p>
      <w:pPr>
        <w:spacing w:line="95" w:lineRule="auto"/>
        <w:rPr>
          <w:rFonts w:ascii="Arial"/>
          <w:sz w:val="2"/>
        </w:rPr>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1"/>
        <w:gridCol w:w="5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831" w:type="dxa"/>
            <w:vAlign w:val="top"/>
          </w:tcPr>
          <w:p>
            <w:pPr>
              <w:pStyle w:val="6"/>
              <w:spacing w:before="135" w:line="220" w:lineRule="auto"/>
              <w:ind w:left="118"/>
            </w:pPr>
            <w:r>
              <w:rPr>
                <w:spacing w:val="2"/>
                <w14:textOutline w14:w="3831" w14:cap="flat" w14:cmpd="sng">
                  <w14:solidFill>
                    <w14:srgbClr w14:val="000000"/>
                  </w14:solidFill>
                  <w14:prstDash w14:val="solid"/>
                  <w14:miter w14:val="10"/>
                </w14:textOutline>
              </w:rPr>
              <w:t>研究设计</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31" w:type="dxa"/>
            <w:vAlign w:val="top"/>
          </w:tcPr>
          <w:p>
            <w:pPr>
              <w:pStyle w:val="6"/>
              <w:spacing w:before="131" w:line="221" w:lineRule="auto"/>
              <w:ind w:left="120"/>
            </w:pPr>
            <w:r>
              <w:rPr>
                <w:spacing w:val="-2"/>
                <w14:textOutline w14:w="3831" w14:cap="flat" w14:cmpd="sng">
                  <w14:solidFill>
                    <w14:srgbClr w14:val="000000"/>
                  </w14:solidFill>
                  <w14:prstDash w14:val="solid"/>
                  <w14:miter w14:val="10"/>
                </w14:textOutline>
              </w:rPr>
              <w:t>待测物</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1" w:type="dxa"/>
            <w:vAlign w:val="top"/>
          </w:tcPr>
          <w:p>
            <w:pPr>
              <w:pStyle w:val="6"/>
              <w:spacing w:before="133" w:line="219" w:lineRule="auto"/>
              <w:ind w:left="120"/>
            </w:pPr>
            <w:r>
              <w:rPr>
                <w:spacing w:val="-1"/>
                <w14:textOutline w14:w="3831" w14:cap="flat" w14:cmpd="sng">
                  <w14:solidFill>
                    <w14:srgbClr w14:val="000000"/>
                  </w14:solidFill>
                  <w14:prstDash w14:val="solid"/>
                  <w14:miter w14:val="10"/>
                </w14:textOutline>
              </w:rPr>
              <w:t>生物等效性评价</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831" w:type="dxa"/>
            <w:vAlign w:val="top"/>
          </w:tcPr>
          <w:p>
            <w:pPr>
              <w:pStyle w:val="6"/>
              <w:spacing w:before="133" w:line="221" w:lineRule="auto"/>
              <w:ind w:left="120"/>
            </w:pPr>
            <w:r>
              <w:rPr>
                <w:spacing w:val="-1"/>
                <w14:textOutline w14:w="3831" w14:cap="flat" w14:cmpd="sng">
                  <w14:solidFill>
                    <w14:srgbClr w14:val="000000"/>
                  </w14:solidFill>
                  <w14:prstDash w14:val="solid"/>
                  <w14:miter w14:val="10"/>
                </w14:textOutline>
              </w:rPr>
              <w:t>生物等效性豁免</w:t>
            </w:r>
          </w:p>
        </w:tc>
        <w:tc>
          <w:tcPr>
            <w:tcW w:w="5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31" w:type="dxa"/>
            <w:vAlign w:val="top"/>
          </w:tcPr>
          <w:p>
            <w:pPr>
              <w:spacing w:before="173" w:line="230" w:lineRule="auto"/>
              <w:ind w:left="128"/>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w:t>
            </w:r>
          </w:p>
        </w:tc>
        <w:tc>
          <w:tcPr>
            <w:tcW w:w="5471" w:type="dxa"/>
            <w:vAlign w:val="top"/>
          </w:tcPr>
          <w:p>
            <w:pPr>
              <w:rPr>
                <w:rFonts w:ascii="Arial"/>
                <w:sz w:val="21"/>
              </w:rPr>
            </w:pPr>
          </w:p>
        </w:tc>
      </w:tr>
    </w:tbl>
    <w:p>
      <w:pPr>
        <w:pStyle w:val="2"/>
        <w:spacing w:before="115" w:line="219" w:lineRule="auto"/>
        <w:ind w:left="508"/>
      </w:pPr>
      <w:r>
        <w:rPr>
          <w:spacing w:val="-4"/>
        </w:rPr>
        <w:t>如未发布，则予以说明。</w:t>
      </w:r>
    </w:p>
    <w:p>
      <w:pPr>
        <w:pStyle w:val="2"/>
        <w:spacing w:before="181" w:line="470" w:lineRule="exact"/>
        <w:ind w:left="24"/>
      </w:pPr>
      <w:r>
        <w:rPr>
          <w:spacing w:val="-1"/>
          <w:position w:val="17"/>
          <w14:textOutline w14:w="4354" w14:cap="flat" w14:cmpd="sng">
            <w14:solidFill>
              <w14:srgbClr w14:val="000000"/>
            </w14:solidFill>
            <w14:prstDash w14:val="solid"/>
            <w14:miter w14:val="10"/>
          </w14:textOutline>
        </w:rPr>
        <w:t>三、生物等效性研究总结</w:t>
      </w:r>
    </w:p>
    <w:p>
      <w:pPr>
        <w:pStyle w:val="2"/>
        <w:spacing w:line="220" w:lineRule="auto"/>
        <w:ind w:left="31"/>
      </w:pPr>
      <w:r>
        <w:rPr>
          <w:rFonts w:ascii="Times New Roman" w:hAnsi="Times New Roman" w:eastAsia="Times New Roman" w:cs="Times New Roman"/>
          <w:b/>
          <w:bCs/>
          <w:spacing w:val="-3"/>
        </w:rPr>
        <w:t>1.</w:t>
      </w:r>
      <w:r>
        <w:rPr>
          <w:spacing w:val="-3"/>
          <w14:textOutline w14:w="4354" w14:cap="flat" w14:cmpd="sng">
            <w14:solidFill>
              <w14:srgbClr w14:val="000000"/>
            </w14:solidFill>
            <w14:prstDash w14:val="solid"/>
            <w14:miter w14:val="10"/>
          </w14:textOutline>
        </w:rPr>
        <w:t>一般情况</w:t>
      </w:r>
    </w:p>
    <w:p>
      <w:pPr>
        <w:pStyle w:val="2"/>
        <w:spacing w:before="178" w:line="361" w:lineRule="auto"/>
        <w:ind w:left="22" w:firstLine="486"/>
        <w:jc w:val="both"/>
      </w:pPr>
      <w:r>
        <w:rPr>
          <w:spacing w:val="-15"/>
        </w:rPr>
        <w:t>简述生物等效性研究的一般情况， 包括：</w:t>
      </w:r>
      <w:r>
        <w:rPr>
          <w:spacing w:val="-31"/>
        </w:rPr>
        <w:t xml:space="preserve"> </w:t>
      </w:r>
      <w:r>
        <w:rPr>
          <w:spacing w:val="-15"/>
        </w:rPr>
        <w:t>①</w:t>
      </w:r>
      <w:r>
        <w:rPr>
          <w:rFonts w:ascii="Times New Roman" w:hAnsi="Times New Roman" w:eastAsia="Times New Roman" w:cs="Times New Roman"/>
          <w:spacing w:val="-15"/>
        </w:rPr>
        <w:t>BE</w:t>
      </w:r>
      <w:r>
        <w:rPr>
          <w:spacing w:val="-15"/>
        </w:rPr>
        <w:t>备案号、临床试验登记号；</w:t>
      </w:r>
      <w:r>
        <w:rPr>
          <w:spacing w:val="26"/>
        </w:rPr>
        <w:t xml:space="preserve"> </w:t>
      </w:r>
      <w:r>
        <w:rPr>
          <w:spacing w:val="-15"/>
        </w:rPr>
        <w:t>②</w:t>
      </w:r>
      <w:r>
        <w:t xml:space="preserve"> </w:t>
      </w:r>
      <w:r>
        <w:rPr>
          <w:spacing w:val="-1"/>
        </w:rPr>
        <w:t>临床研究单位、样品分析单位、数据管理单位、统计分</w:t>
      </w:r>
      <w:r>
        <w:rPr>
          <w:spacing w:val="-2"/>
        </w:rPr>
        <w:t>析单位和合同研究组织；</w:t>
      </w:r>
      <w:r>
        <w:t xml:space="preserve"> </w:t>
      </w:r>
      <w:r>
        <w:rPr>
          <w:spacing w:val="-8"/>
        </w:rPr>
        <w:t>③伦理委员会名称和伦理通过时间； ④试验起止时间（</w:t>
      </w:r>
      <w:r>
        <w:rPr>
          <w:rFonts w:ascii="Times New Roman" w:hAnsi="Times New Roman" w:eastAsia="Times New Roman" w:cs="Times New Roman"/>
          <w:spacing w:val="-8"/>
        </w:rPr>
        <w:t>BE</w:t>
      </w:r>
      <w:r>
        <w:rPr>
          <w:spacing w:val="-8"/>
        </w:rPr>
        <w:t>试验入组日期、各周期</w:t>
      </w:r>
    </w:p>
    <w:p>
      <w:pPr>
        <w:pStyle w:val="2"/>
        <w:spacing w:line="219" w:lineRule="auto"/>
        <w:ind w:left="25"/>
      </w:pPr>
      <w:r>
        <w:rPr>
          <w:spacing w:val="-10"/>
        </w:rPr>
        <w:t>给药日期、</w:t>
      </w:r>
      <w:r>
        <w:rPr>
          <w:spacing w:val="53"/>
        </w:rPr>
        <w:t xml:space="preserve"> </w:t>
      </w:r>
      <w:r>
        <w:rPr>
          <w:rFonts w:ascii="Times New Roman" w:hAnsi="Times New Roman" w:eastAsia="Times New Roman" w:cs="Times New Roman"/>
          <w:spacing w:val="-10"/>
        </w:rPr>
        <w:t>BE</w:t>
      </w:r>
      <w:r>
        <w:rPr>
          <w:spacing w:val="-10"/>
        </w:rPr>
        <w:t>试验结束日期、方法学验证日期、生物样品检测日期）。</w:t>
      </w:r>
    </w:p>
    <w:p>
      <w:pPr>
        <w:pStyle w:val="2"/>
        <w:spacing w:before="181" w:line="470" w:lineRule="exact"/>
        <w:ind w:right="62"/>
        <w:jc w:val="right"/>
      </w:pPr>
      <w:r>
        <w:rPr>
          <w:position w:val="16"/>
        </w:rPr>
        <w:t>若未开展</w:t>
      </w:r>
      <w:r>
        <w:rPr>
          <w:rFonts w:ascii="Times New Roman" w:hAnsi="Times New Roman" w:eastAsia="Times New Roman" w:cs="Times New Roman"/>
          <w:position w:val="16"/>
        </w:rPr>
        <w:t>BE</w:t>
      </w:r>
      <w:r>
        <w:rPr>
          <w:position w:val="16"/>
        </w:rPr>
        <w:t>研究，说明豁免依据。若仅开展空腹</w:t>
      </w:r>
      <w:r>
        <w:rPr>
          <w:rFonts w:ascii="Times New Roman" w:hAnsi="Times New Roman" w:eastAsia="Times New Roman" w:cs="Times New Roman"/>
          <w:position w:val="16"/>
        </w:rPr>
        <w:t>/</w:t>
      </w:r>
      <w:r>
        <w:rPr>
          <w:position w:val="16"/>
        </w:rPr>
        <w:t>餐后试验中一项</w:t>
      </w:r>
      <w:r>
        <w:rPr>
          <w:spacing w:val="-1"/>
          <w:position w:val="16"/>
        </w:rPr>
        <w:t>试验，阐</w:t>
      </w:r>
    </w:p>
    <w:p>
      <w:pPr>
        <w:pStyle w:val="2"/>
        <w:spacing w:before="1" w:line="218" w:lineRule="auto"/>
        <w:ind w:left="47"/>
      </w:pPr>
      <w:r>
        <w:rPr>
          <w:spacing w:val="-13"/>
        </w:rPr>
        <w:t>明依据。</w:t>
      </w:r>
    </w:p>
    <w:p>
      <w:pPr>
        <w:pStyle w:val="2"/>
        <w:spacing w:before="181" w:line="219" w:lineRule="auto"/>
        <w:ind w:left="21"/>
        <w:outlineLvl w:val="0"/>
      </w:pPr>
      <w:r>
        <w:rPr>
          <w:rFonts w:ascii="Times New Roman" w:hAnsi="Times New Roman" w:eastAsia="Times New Roman" w:cs="Times New Roman"/>
          <w:b/>
          <w:bCs/>
          <w:spacing w:val="-1"/>
        </w:rPr>
        <w:t>2.</w:t>
      </w:r>
      <w:r>
        <w:rPr>
          <w:spacing w:val="-1"/>
          <w14:textOutline w14:w="4354" w14:cap="flat" w14:cmpd="sng">
            <w14:solidFill>
              <w14:srgbClr w14:val="000000"/>
            </w14:solidFill>
            <w14:prstDash w14:val="solid"/>
            <w14:miter w14:val="10"/>
          </w14:textOutline>
        </w:rPr>
        <w:t>研究设计</w:t>
      </w:r>
    </w:p>
    <w:p>
      <w:pPr>
        <w:spacing w:line="260" w:lineRule="auto"/>
        <w:rPr>
          <w:rFonts w:ascii="Arial"/>
          <w:sz w:val="21"/>
        </w:rPr>
      </w:pPr>
    </w:p>
    <w:p>
      <w:pPr>
        <w:pStyle w:val="2"/>
        <w:spacing w:before="78" w:line="471" w:lineRule="exact"/>
        <w:ind w:right="59"/>
        <w:jc w:val="right"/>
      </w:pPr>
      <w:r>
        <w:rPr>
          <w:spacing w:val="-3"/>
          <w:position w:val="17"/>
        </w:rPr>
        <w:t>简述生物等效性研究的研究设计、研究类型、</w:t>
      </w:r>
      <w:r>
        <w:rPr>
          <w:spacing w:val="-4"/>
          <w:position w:val="17"/>
        </w:rPr>
        <w:t>受试者人群、给药剂量、血样</w:t>
      </w:r>
    </w:p>
    <w:p>
      <w:pPr>
        <w:pStyle w:val="2"/>
        <w:spacing w:before="1" w:line="218" w:lineRule="auto"/>
        <w:ind w:left="23"/>
      </w:pPr>
      <w:r>
        <w:rPr>
          <w:spacing w:val="-3"/>
        </w:rPr>
        <w:t>采集时间点和清洗期设置，及其依据。</w:t>
      </w:r>
    </w:p>
    <w:p>
      <w:pPr>
        <w:pStyle w:val="2"/>
        <w:spacing w:before="181" w:line="219" w:lineRule="auto"/>
        <w:ind w:left="19"/>
        <w:outlineLvl w:val="0"/>
      </w:pPr>
      <w:r>
        <w:rPr>
          <w:rFonts w:ascii="Times New Roman" w:hAnsi="Times New Roman" w:eastAsia="Times New Roman" w:cs="Times New Roman"/>
          <w:b/>
          <w:bCs/>
          <w:spacing w:val="-1"/>
        </w:rPr>
        <w:t>3.</w:t>
      </w:r>
      <w:r>
        <w:rPr>
          <w:spacing w:val="-1"/>
          <w14:textOutline w14:w="4354" w14:cap="flat" w14:cmpd="sng">
            <w14:solidFill>
              <w14:srgbClr w14:val="000000"/>
            </w14:solidFill>
            <w14:prstDash w14:val="solid"/>
            <w14:miter w14:val="10"/>
          </w14:textOutline>
        </w:rPr>
        <w:t>研究用药</w:t>
      </w:r>
    </w:p>
    <w:p>
      <w:pPr>
        <w:spacing w:line="260" w:lineRule="auto"/>
        <w:rPr>
          <w:rFonts w:ascii="Arial"/>
          <w:sz w:val="21"/>
        </w:rPr>
      </w:pPr>
    </w:p>
    <w:p>
      <w:pPr>
        <w:pStyle w:val="2"/>
        <w:spacing w:before="78" w:line="219" w:lineRule="auto"/>
        <w:ind w:left="509"/>
      </w:pPr>
      <w:r>
        <w:rPr>
          <w:spacing w:val="-4"/>
        </w:rPr>
        <w:t>简述研究用药相关信息。</w:t>
      </w:r>
    </w:p>
    <w:p>
      <w:pPr>
        <w:pStyle w:val="2"/>
        <w:spacing w:before="239" w:line="220" w:lineRule="auto"/>
        <w:ind w:left="3120"/>
        <w:rPr>
          <w:sz w:val="21"/>
          <w:szCs w:val="21"/>
        </w:rPr>
      </w:pPr>
      <w:r>
        <w:rPr>
          <w:spacing w:val="-1"/>
          <w:sz w:val="21"/>
          <w:szCs w:val="21"/>
          <w14:textOutline w14:w="3831" w14:cap="flat" w14:cmpd="sng">
            <w14:solidFill>
              <w14:srgbClr w14:val="000000"/>
            </w14:solidFill>
            <w14:prstDash w14:val="solid"/>
            <w14:miter w14:val="10"/>
          </w14:textOutline>
        </w:rPr>
        <w:t>研究用药信息（示例）</w:t>
      </w:r>
    </w:p>
    <w:p>
      <w:pPr>
        <w:spacing w:line="133"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9"/>
        <w:gridCol w:w="2764"/>
        <w:gridCol w:w="2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769" w:type="dxa"/>
            <w:vAlign w:val="top"/>
          </w:tcPr>
          <w:p>
            <w:pPr>
              <w:rPr>
                <w:rFonts w:ascii="Arial"/>
                <w:sz w:val="21"/>
              </w:rPr>
            </w:pPr>
          </w:p>
        </w:tc>
        <w:tc>
          <w:tcPr>
            <w:tcW w:w="2764" w:type="dxa"/>
            <w:vAlign w:val="top"/>
          </w:tcPr>
          <w:p>
            <w:pPr>
              <w:pStyle w:val="6"/>
              <w:spacing w:before="183" w:line="220" w:lineRule="auto"/>
              <w:ind w:left="969"/>
            </w:pPr>
            <w:r>
              <w:rPr>
                <w:spacing w:val="-2"/>
                <w14:textOutline w14:w="3831" w14:cap="flat" w14:cmpd="sng">
                  <w14:solidFill>
                    <w14:srgbClr w14:val="000000"/>
                  </w14:solidFill>
                  <w14:prstDash w14:val="solid"/>
                  <w14:miter w14:val="10"/>
                </w14:textOutline>
              </w:rPr>
              <w:t>受试制剂</w:t>
            </w:r>
          </w:p>
        </w:tc>
        <w:tc>
          <w:tcPr>
            <w:tcW w:w="2769" w:type="dxa"/>
            <w:vAlign w:val="top"/>
          </w:tcPr>
          <w:p>
            <w:pPr>
              <w:pStyle w:val="6"/>
              <w:spacing w:before="183" w:line="220" w:lineRule="auto"/>
              <w:ind w:left="968"/>
            </w:pPr>
            <w:r>
              <w:rPr>
                <w:spacing w:val="-1"/>
                <w14:textOutline w14:w="3831" w14:cap="flat" w14:cmpd="sng">
                  <w14:solidFill>
                    <w14:srgbClr w14:val="000000"/>
                  </w14:solidFill>
                  <w14:prstDash w14:val="solid"/>
                  <w14:miter w14:val="10"/>
                </w14:textOutline>
              </w:rPr>
              <w:t>参比制剂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769" w:type="dxa"/>
            <w:vAlign w:val="top"/>
          </w:tcPr>
          <w:p>
            <w:pPr>
              <w:pStyle w:val="6"/>
              <w:spacing w:before="179" w:line="220" w:lineRule="auto"/>
              <w:ind w:left="118"/>
            </w:pPr>
            <w:r>
              <w:rPr>
                <w:spacing w:val="-1"/>
              </w:rPr>
              <w:t>试验制剂名称</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769" w:type="dxa"/>
            <w:vAlign w:val="top"/>
          </w:tcPr>
          <w:p>
            <w:pPr>
              <w:pStyle w:val="6"/>
              <w:spacing w:before="180" w:line="221" w:lineRule="auto"/>
              <w:ind w:left="122"/>
            </w:pPr>
            <w:r>
              <w:rPr>
                <w:spacing w:val="-3"/>
              </w:rPr>
              <w:t>商品名（如有）</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769" w:type="dxa"/>
            <w:vAlign w:val="top"/>
          </w:tcPr>
          <w:p>
            <w:pPr>
              <w:pStyle w:val="6"/>
              <w:spacing w:before="180" w:line="221" w:lineRule="auto"/>
              <w:ind w:left="120"/>
            </w:pPr>
            <w:r>
              <w:rPr>
                <w:spacing w:val="-2"/>
              </w:rPr>
              <w:t>持证商</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69" w:type="dxa"/>
            <w:vAlign w:val="top"/>
          </w:tcPr>
          <w:p>
            <w:pPr>
              <w:pStyle w:val="6"/>
              <w:spacing w:before="177" w:line="221" w:lineRule="auto"/>
              <w:ind w:left="120"/>
            </w:pPr>
            <w:r>
              <w:rPr>
                <w:spacing w:val="-1"/>
              </w:rPr>
              <w:t>生产厂家</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769" w:type="dxa"/>
            <w:vAlign w:val="top"/>
          </w:tcPr>
          <w:p>
            <w:pPr>
              <w:pStyle w:val="6"/>
              <w:spacing w:before="182" w:line="221" w:lineRule="auto"/>
              <w:ind w:left="120"/>
            </w:pPr>
            <w:r>
              <w:rPr>
                <w:spacing w:val="-1"/>
              </w:rPr>
              <w:t>生产厂家地址</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769" w:type="dxa"/>
            <w:vAlign w:val="top"/>
          </w:tcPr>
          <w:p>
            <w:pPr>
              <w:pStyle w:val="6"/>
              <w:spacing w:before="183" w:line="222" w:lineRule="auto"/>
              <w:ind w:left="117"/>
            </w:pPr>
            <w:r>
              <w:rPr>
                <w:spacing w:val="-2"/>
              </w:rPr>
              <w:t>批号</w:t>
            </w:r>
          </w:p>
        </w:tc>
        <w:tc>
          <w:tcPr>
            <w:tcW w:w="2764" w:type="dxa"/>
            <w:vAlign w:val="top"/>
          </w:tcPr>
          <w:p>
            <w:pPr>
              <w:rPr>
                <w:rFonts w:ascii="Arial"/>
                <w:sz w:val="21"/>
              </w:rPr>
            </w:pPr>
          </w:p>
        </w:tc>
        <w:tc>
          <w:tcPr>
            <w:tcW w:w="2769" w:type="dxa"/>
            <w:vAlign w:val="top"/>
          </w:tcPr>
          <w:p>
            <w:pPr>
              <w:rPr>
                <w:rFonts w:ascii="Arial"/>
                <w:sz w:val="21"/>
              </w:rPr>
            </w:pPr>
          </w:p>
        </w:tc>
      </w:tr>
    </w:tbl>
    <w:p>
      <w:pPr>
        <w:rPr>
          <w:rFonts w:ascii="Arial"/>
          <w:sz w:val="21"/>
        </w:rPr>
      </w:pPr>
    </w:p>
    <w:p>
      <w:pPr>
        <w:rPr>
          <w:rFonts w:ascii="Arial" w:hAnsi="Arial" w:eastAsia="Arial" w:cs="Arial"/>
          <w:sz w:val="21"/>
          <w:szCs w:val="21"/>
        </w:rPr>
        <w:sectPr>
          <w:pgSz w:w="11905" w:h="16839"/>
          <w:pgMar w:top="1431" w:right="1740" w:bottom="0" w:left="1785" w:header="0" w:footer="0" w:gutter="0"/>
          <w:cols w:space="720" w:num="1"/>
        </w:sectPr>
      </w:pPr>
    </w:p>
    <w:p>
      <w:pPr>
        <w:spacing w:line="95" w:lineRule="auto"/>
        <w:rPr>
          <w:rFonts w:ascii="Arial"/>
          <w:sz w:val="2"/>
        </w:rPr>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9"/>
        <w:gridCol w:w="2764"/>
        <w:gridCol w:w="2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769" w:type="dxa"/>
            <w:vAlign w:val="top"/>
          </w:tcPr>
          <w:p>
            <w:pPr>
              <w:rPr>
                <w:rFonts w:ascii="Arial"/>
                <w:sz w:val="21"/>
              </w:rPr>
            </w:pPr>
          </w:p>
        </w:tc>
        <w:tc>
          <w:tcPr>
            <w:tcW w:w="2764" w:type="dxa"/>
            <w:vAlign w:val="top"/>
          </w:tcPr>
          <w:p>
            <w:pPr>
              <w:pStyle w:val="6"/>
              <w:spacing w:before="183" w:line="220" w:lineRule="auto"/>
              <w:ind w:left="969"/>
            </w:pPr>
            <w:r>
              <w:rPr>
                <w:spacing w:val="-2"/>
                <w14:textOutline w14:w="3831" w14:cap="flat" w14:cmpd="sng">
                  <w14:solidFill>
                    <w14:srgbClr w14:val="000000"/>
                  </w14:solidFill>
                  <w14:prstDash w14:val="solid"/>
                  <w14:miter w14:val="10"/>
                </w14:textOutline>
              </w:rPr>
              <w:t>受试制剂</w:t>
            </w:r>
          </w:p>
        </w:tc>
        <w:tc>
          <w:tcPr>
            <w:tcW w:w="2769" w:type="dxa"/>
            <w:vAlign w:val="top"/>
          </w:tcPr>
          <w:p>
            <w:pPr>
              <w:pStyle w:val="6"/>
              <w:spacing w:before="183" w:line="220" w:lineRule="auto"/>
              <w:ind w:left="968"/>
            </w:pPr>
            <w:r>
              <w:rPr>
                <w:spacing w:val="-1"/>
                <w14:textOutline w14:w="3831" w14:cap="flat" w14:cmpd="sng">
                  <w14:solidFill>
                    <w14:srgbClr w14:val="000000"/>
                  </w14:solidFill>
                  <w14:prstDash w14:val="solid"/>
                  <w14:miter w14:val="10"/>
                </w14:textOutline>
              </w:rPr>
              <w:t>参比制剂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769" w:type="dxa"/>
            <w:vAlign w:val="top"/>
          </w:tcPr>
          <w:p>
            <w:pPr>
              <w:pStyle w:val="6"/>
              <w:spacing w:before="178" w:line="221" w:lineRule="auto"/>
              <w:ind w:left="120"/>
            </w:pPr>
            <w:r>
              <w:rPr>
                <w:spacing w:val="-1"/>
              </w:rPr>
              <w:t>生产日期</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69" w:type="dxa"/>
            <w:vAlign w:val="top"/>
          </w:tcPr>
          <w:p>
            <w:pPr>
              <w:pStyle w:val="6"/>
              <w:spacing w:before="179" w:line="221" w:lineRule="auto"/>
              <w:ind w:left="123"/>
            </w:pPr>
            <w:r>
              <w:rPr>
                <w:spacing w:val="-3"/>
              </w:rPr>
              <w:t>失效期（或有效期）</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769" w:type="dxa"/>
            <w:vAlign w:val="top"/>
          </w:tcPr>
          <w:p>
            <w:pPr>
              <w:pStyle w:val="6"/>
              <w:spacing w:before="179" w:line="221" w:lineRule="auto"/>
              <w:ind w:left="119"/>
            </w:pPr>
            <w:r>
              <w:rPr>
                <w:spacing w:val="-2"/>
              </w:rPr>
              <w:t>规格</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69" w:type="dxa"/>
            <w:vAlign w:val="top"/>
          </w:tcPr>
          <w:p>
            <w:pPr>
              <w:pStyle w:val="6"/>
              <w:spacing w:before="175" w:line="220" w:lineRule="auto"/>
              <w:ind w:left="119"/>
            </w:pPr>
            <w:r>
              <w:rPr>
                <w:spacing w:val="-2"/>
              </w:rPr>
              <w:t>剂型</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769" w:type="dxa"/>
            <w:vAlign w:val="top"/>
          </w:tcPr>
          <w:p>
            <w:pPr>
              <w:pStyle w:val="6"/>
              <w:spacing w:before="180" w:line="221" w:lineRule="auto"/>
              <w:ind w:left="130"/>
            </w:pPr>
            <w:r>
              <w:rPr>
                <w:spacing w:val="-2"/>
              </w:rPr>
              <w:t>临床试验批次规模</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69" w:type="dxa"/>
            <w:vAlign w:val="top"/>
          </w:tcPr>
          <w:p>
            <w:pPr>
              <w:pStyle w:val="6"/>
              <w:spacing w:before="176" w:line="221" w:lineRule="auto"/>
              <w:ind w:left="122"/>
            </w:pPr>
            <w:r>
              <w:rPr>
                <w:spacing w:val="-1"/>
              </w:rPr>
              <w:t>商业生产批次规模</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69" w:type="dxa"/>
            <w:vAlign w:val="top"/>
          </w:tcPr>
          <w:p>
            <w:pPr>
              <w:pStyle w:val="6"/>
              <w:spacing w:before="181" w:line="221" w:lineRule="auto"/>
              <w:ind w:left="118"/>
            </w:pPr>
            <w:r>
              <w:rPr>
                <w:spacing w:val="-2"/>
              </w:rPr>
              <w:t>含量</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769" w:type="dxa"/>
            <w:vAlign w:val="top"/>
          </w:tcPr>
          <w:p>
            <w:pPr>
              <w:pStyle w:val="6"/>
              <w:spacing w:before="182" w:line="220" w:lineRule="auto"/>
              <w:ind w:left="119"/>
            </w:pPr>
            <w:r>
              <w:rPr>
                <w:spacing w:val="-1"/>
              </w:rPr>
              <w:t>给药剂量</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69" w:type="dxa"/>
            <w:vAlign w:val="top"/>
          </w:tcPr>
          <w:p>
            <w:pPr>
              <w:pStyle w:val="6"/>
              <w:spacing w:before="182" w:line="221" w:lineRule="auto"/>
              <w:ind w:left="119"/>
            </w:pPr>
            <w:r>
              <w:rPr>
                <w:spacing w:val="-1"/>
              </w:rPr>
              <w:t>给药途径</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769" w:type="dxa"/>
            <w:vAlign w:val="top"/>
          </w:tcPr>
          <w:p>
            <w:pPr>
              <w:pStyle w:val="6"/>
              <w:spacing w:before="183" w:line="220" w:lineRule="auto"/>
              <w:ind w:left="118"/>
            </w:pPr>
            <w:r>
              <w:rPr>
                <w:spacing w:val="-1"/>
              </w:rPr>
              <w:t>检验机构</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69" w:type="dxa"/>
            <w:vAlign w:val="top"/>
          </w:tcPr>
          <w:p>
            <w:pPr>
              <w:pStyle w:val="6"/>
              <w:spacing w:before="177" w:line="221" w:lineRule="auto"/>
              <w:ind w:left="119"/>
            </w:pPr>
            <w:r>
              <w:rPr>
                <w:spacing w:val="-1"/>
              </w:rPr>
              <w:t>贮藏条件</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69" w:type="dxa"/>
            <w:vAlign w:val="top"/>
          </w:tcPr>
          <w:p>
            <w:pPr>
              <w:pStyle w:val="6"/>
              <w:spacing w:before="183" w:line="220" w:lineRule="auto"/>
              <w:ind w:left="118"/>
            </w:pPr>
            <w:r>
              <w:rPr>
                <w:spacing w:val="-1"/>
              </w:rPr>
              <w:t>试验制剂留样</w:t>
            </w:r>
          </w:p>
        </w:tc>
        <w:tc>
          <w:tcPr>
            <w:tcW w:w="2764"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769" w:type="dxa"/>
            <w:vAlign w:val="top"/>
          </w:tcPr>
          <w:p>
            <w:pPr>
              <w:spacing w:line="282" w:lineRule="auto"/>
              <w:rPr>
                <w:rFonts w:ascii="Arial"/>
                <w:sz w:val="21"/>
              </w:rPr>
            </w:pPr>
          </w:p>
          <w:p>
            <w:pPr>
              <w:spacing w:before="60" w:line="66" w:lineRule="exact"/>
              <w:ind w:left="133"/>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w:t>
            </w:r>
          </w:p>
        </w:tc>
        <w:tc>
          <w:tcPr>
            <w:tcW w:w="2764" w:type="dxa"/>
            <w:vAlign w:val="top"/>
          </w:tcPr>
          <w:p>
            <w:pPr>
              <w:rPr>
                <w:rFonts w:ascii="Arial"/>
                <w:sz w:val="21"/>
              </w:rPr>
            </w:pPr>
          </w:p>
        </w:tc>
        <w:tc>
          <w:tcPr>
            <w:tcW w:w="2769" w:type="dxa"/>
            <w:vAlign w:val="top"/>
          </w:tcPr>
          <w:p>
            <w:pPr>
              <w:rPr>
                <w:rFonts w:ascii="Arial"/>
                <w:sz w:val="21"/>
              </w:rPr>
            </w:pPr>
          </w:p>
        </w:tc>
      </w:tr>
    </w:tbl>
    <w:p>
      <w:pPr>
        <w:pStyle w:val="2"/>
        <w:spacing w:before="268" w:line="219" w:lineRule="auto"/>
        <w:ind w:left="509"/>
      </w:pPr>
      <w:r>
        <w:rPr>
          <w:spacing w:val="-2"/>
        </w:rPr>
        <w:t>简述参比制剂的合法来源证明性文件及实物照片，以文件形式插入。</w:t>
      </w:r>
    </w:p>
    <w:p>
      <w:pPr>
        <w:pStyle w:val="2"/>
        <w:spacing w:before="185" w:line="221" w:lineRule="auto"/>
        <w:ind w:left="21"/>
        <w:outlineLvl w:val="0"/>
      </w:pPr>
      <w:r>
        <w:rPr>
          <w:rFonts w:ascii="Times New Roman" w:hAnsi="Times New Roman" w:eastAsia="Times New Roman" w:cs="Times New Roman"/>
          <w:b/>
          <w:bCs/>
          <w:spacing w:val="-1"/>
        </w:rPr>
        <w:t>4.</w:t>
      </w:r>
      <w:r>
        <w:rPr>
          <w:spacing w:val="-1"/>
          <w14:textOutline w14:w="4354" w14:cap="flat" w14:cmpd="sng">
            <w14:solidFill>
              <w14:srgbClr w14:val="000000"/>
            </w14:solidFill>
            <w14:prstDash w14:val="solid"/>
            <w14:miter w14:val="10"/>
          </w14:textOutline>
        </w:rPr>
        <w:t>受试者</w:t>
      </w:r>
    </w:p>
    <w:p>
      <w:pPr>
        <w:spacing w:line="252" w:lineRule="auto"/>
        <w:rPr>
          <w:rFonts w:ascii="Arial"/>
          <w:sz w:val="21"/>
        </w:rPr>
      </w:pPr>
    </w:p>
    <w:p>
      <w:pPr>
        <w:pStyle w:val="2"/>
        <w:spacing w:before="78" w:line="362" w:lineRule="auto"/>
        <w:ind w:left="24" w:right="86" w:firstLine="484"/>
        <w:jc w:val="both"/>
      </w:pPr>
      <w:r>
        <w:rPr>
          <w:spacing w:val="-4"/>
        </w:rPr>
        <w:t>简述受试者类型（健康受试者或患者）、受试者筛选、入组及完成情况、受</w:t>
      </w:r>
      <w:r>
        <w:rPr>
          <w:spacing w:val="15"/>
        </w:rPr>
        <w:t xml:space="preserve"> </w:t>
      </w:r>
      <w:r>
        <w:rPr>
          <w:spacing w:val="-3"/>
        </w:rPr>
        <w:t>试者退出情况（列表说明受试者编号、退出原因、退出周期以及退出时采血</w:t>
      </w:r>
      <w:r>
        <w:rPr>
          <w:spacing w:val="-4"/>
        </w:rPr>
        <w:t>情况</w:t>
      </w:r>
    </w:p>
    <w:p>
      <w:pPr>
        <w:pStyle w:val="2"/>
        <w:spacing w:before="1" w:line="218" w:lineRule="auto"/>
        <w:ind w:left="26"/>
      </w:pPr>
      <w:r>
        <w:rPr>
          <w:spacing w:val="-11"/>
        </w:rPr>
        <w:t>等）。列表说明人口学分布情况。</w:t>
      </w:r>
    </w:p>
    <w:p>
      <w:pPr>
        <w:pStyle w:val="2"/>
        <w:spacing w:before="182" w:line="220" w:lineRule="auto"/>
        <w:ind w:left="23"/>
        <w:outlineLvl w:val="0"/>
      </w:pPr>
      <w:r>
        <w:rPr>
          <w:rFonts w:ascii="Times New Roman" w:hAnsi="Times New Roman" w:eastAsia="Times New Roman" w:cs="Times New Roman"/>
          <w:b/>
          <w:bCs/>
          <w:spacing w:val="-1"/>
        </w:rPr>
        <w:t>5.</w:t>
      </w:r>
      <w:r>
        <w:rPr>
          <w:spacing w:val="-1"/>
          <w14:textOutline w14:w="4354" w14:cap="flat" w14:cmpd="sng">
            <w14:solidFill>
              <w14:srgbClr w14:val="000000"/>
            </w14:solidFill>
            <w14:prstDash w14:val="solid"/>
            <w14:miter w14:val="10"/>
          </w14:textOutline>
        </w:rPr>
        <w:t>给药方案</w:t>
      </w:r>
    </w:p>
    <w:p>
      <w:pPr>
        <w:pStyle w:val="2"/>
        <w:spacing w:before="232" w:line="360" w:lineRule="auto"/>
        <w:ind w:left="24" w:firstLine="484"/>
        <w:jc w:val="both"/>
      </w:pPr>
      <w:r>
        <w:rPr>
          <w:spacing w:val="-13"/>
        </w:rPr>
        <w:t>简述生物等效性研究的给药方案，</w:t>
      </w:r>
      <w:r>
        <w:rPr>
          <w:spacing w:val="-50"/>
        </w:rPr>
        <w:t xml:space="preserve"> </w:t>
      </w:r>
      <w:r>
        <w:rPr>
          <w:spacing w:val="-13"/>
        </w:rPr>
        <w:t>包括给药时间、给药</w:t>
      </w:r>
      <w:r>
        <w:rPr>
          <w:spacing w:val="-14"/>
        </w:rPr>
        <w:t>剂量、药物配制情况、</w:t>
      </w:r>
      <w:r>
        <w:t xml:space="preserve">  </w:t>
      </w:r>
      <w:r>
        <w:rPr>
          <w:spacing w:val="-9"/>
        </w:rPr>
        <w:t>饮水及饮食情况等。对于餐后生物等效性研究，</w:t>
      </w:r>
      <w:r>
        <w:rPr>
          <w:spacing w:val="-45"/>
        </w:rPr>
        <w:t xml:space="preserve"> </w:t>
      </w:r>
      <w:r>
        <w:rPr>
          <w:spacing w:val="-9"/>
        </w:rPr>
        <w:t>列表说</w:t>
      </w:r>
      <w:r>
        <w:rPr>
          <w:spacing w:val="-10"/>
        </w:rPr>
        <w:t>明高脂餐组成和热量信息。</w:t>
      </w:r>
    </w:p>
    <w:p>
      <w:pPr>
        <w:pStyle w:val="2"/>
        <w:spacing w:before="1" w:line="218" w:lineRule="auto"/>
        <w:ind w:left="28"/>
      </w:pPr>
      <w:r>
        <w:rPr>
          <w:spacing w:val="-4"/>
        </w:rPr>
        <w:t>如有特殊情况，请说明依据。</w:t>
      </w:r>
    </w:p>
    <w:p>
      <w:pPr>
        <w:pStyle w:val="2"/>
        <w:spacing w:before="186" w:line="219" w:lineRule="auto"/>
        <w:ind w:left="24"/>
        <w:outlineLvl w:val="0"/>
      </w:pPr>
      <w:r>
        <w:rPr>
          <w:rFonts w:ascii="Times New Roman" w:hAnsi="Times New Roman" w:eastAsia="Times New Roman" w:cs="Times New Roman"/>
          <w:b/>
          <w:bCs/>
        </w:rPr>
        <w:t>6.</w:t>
      </w:r>
      <w:r>
        <w:rPr>
          <w14:textOutline w14:w="4354" w14:cap="flat" w14:cmpd="sng">
            <w14:solidFill>
              <w14:srgbClr w14:val="000000"/>
            </w14:solidFill>
            <w14:prstDash w14:val="solid"/>
            <w14:miter w14:val="10"/>
          </w14:textOutline>
        </w:rPr>
        <w:t>生物样品的采集、处理及转运</w:t>
      </w:r>
    </w:p>
    <w:p>
      <w:pPr>
        <w:pStyle w:val="2"/>
        <w:spacing w:before="181" w:line="219" w:lineRule="auto"/>
        <w:ind w:right="6"/>
        <w:jc w:val="right"/>
      </w:pPr>
      <w:r>
        <w:rPr>
          <w:spacing w:val="-1"/>
        </w:rPr>
        <w:t>简述样品采集、处理和转运的概况，主要包括：生物样品的种类、抗凝剂、</w:t>
      </w:r>
    </w:p>
    <w:p>
      <w:pPr>
        <w:spacing w:line="219" w:lineRule="auto"/>
        <w:sectPr>
          <w:pgSz w:w="11905" w:h="16839"/>
          <w:pgMar w:top="1431" w:right="1712" w:bottom="0" w:left="1785" w:header="0" w:footer="0" w:gutter="0"/>
          <w:cols w:space="720" w:num="1"/>
        </w:sectPr>
      </w:pPr>
    </w:p>
    <w:p>
      <w:pPr>
        <w:pStyle w:val="2"/>
        <w:spacing w:before="122" w:line="360" w:lineRule="auto"/>
        <w:ind w:left="22" w:firstLine="2"/>
        <w:jc w:val="both"/>
      </w:pPr>
      <w:r>
        <w:rPr>
          <w:spacing w:val="-4"/>
        </w:rPr>
        <w:t xml:space="preserve">稳定剂（如有）、样品采集光照条件、允许的时间窗、处理方法及步骤、样品放 </w:t>
      </w:r>
      <w:r>
        <w:rPr>
          <w:spacing w:val="-7"/>
        </w:rPr>
        <w:t xml:space="preserve">置条件、运输条件（转运起止时间、温度范围） 等。列表提供样品储存情况和稳 </w:t>
      </w:r>
      <w:r>
        <w:rPr>
          <w:spacing w:val="-1"/>
        </w:rPr>
        <w:t>定性相关信息，并说明方法学验证稳定性考察结果是否可覆盖样品采集、处理、</w:t>
      </w:r>
    </w:p>
    <w:p>
      <w:pPr>
        <w:pStyle w:val="2"/>
        <w:spacing w:line="219" w:lineRule="auto"/>
        <w:ind w:left="25"/>
      </w:pPr>
      <w:r>
        <w:t>转运及存储过程。样品转运数量及转运过程是</w:t>
      </w:r>
      <w:r>
        <w:rPr>
          <w:spacing w:val="-1"/>
        </w:rPr>
        <w:t>否有异常情况等 。</w:t>
      </w:r>
    </w:p>
    <w:p>
      <w:pPr>
        <w:pStyle w:val="2"/>
        <w:spacing w:before="238" w:line="221" w:lineRule="auto"/>
        <w:ind w:left="2279"/>
        <w:rPr>
          <w:sz w:val="21"/>
          <w:szCs w:val="21"/>
        </w:rPr>
      </w:pPr>
      <w:r>
        <w:rPr>
          <w:sz w:val="21"/>
          <w:szCs w:val="21"/>
          <w14:textOutline w14:w="3831" w14:cap="flat" w14:cmpd="sng">
            <w14:solidFill>
              <w14:srgbClr w14:val="000000"/>
            </w14:solidFill>
            <w14:prstDash w14:val="solid"/>
            <w14:miter w14:val="10"/>
          </w14:textOutline>
        </w:rPr>
        <w:t>样品储存情况和稳定性相关信息（示例）</w:t>
      </w:r>
    </w:p>
    <w:p>
      <w:pPr>
        <w:spacing w:line="132"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6"/>
        <w:gridCol w:w="2697"/>
        <w:gridCol w:w="2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36" w:type="dxa"/>
            <w:vAlign w:val="top"/>
          </w:tcPr>
          <w:p>
            <w:pPr>
              <w:rPr>
                <w:rFonts w:ascii="Arial"/>
                <w:sz w:val="21"/>
              </w:rPr>
            </w:pPr>
          </w:p>
        </w:tc>
        <w:tc>
          <w:tcPr>
            <w:tcW w:w="2697" w:type="dxa"/>
            <w:vAlign w:val="top"/>
          </w:tcPr>
          <w:p>
            <w:pPr>
              <w:pStyle w:val="6"/>
              <w:spacing w:before="139" w:line="221" w:lineRule="auto"/>
              <w:ind w:left="109"/>
              <w:rPr>
                <w:sz w:val="20"/>
                <w:szCs w:val="20"/>
              </w:rPr>
            </w:pPr>
            <w:r>
              <w:rPr>
                <w:spacing w:val="-1"/>
                <w:sz w:val="20"/>
                <w:szCs w:val="20"/>
              </w:rPr>
              <w:t>样品实际储存条件和时长</w:t>
            </w:r>
          </w:p>
        </w:tc>
        <w:tc>
          <w:tcPr>
            <w:tcW w:w="2769" w:type="dxa"/>
            <w:vAlign w:val="top"/>
          </w:tcPr>
          <w:p>
            <w:pPr>
              <w:pStyle w:val="6"/>
              <w:spacing w:before="139" w:line="221" w:lineRule="auto"/>
              <w:ind w:left="117"/>
              <w:rPr>
                <w:sz w:val="20"/>
                <w:szCs w:val="20"/>
              </w:rPr>
            </w:pPr>
            <w:r>
              <w:rPr>
                <w:spacing w:val="-1"/>
                <w:sz w:val="20"/>
                <w:szCs w:val="20"/>
              </w:rPr>
              <w:t>稳定性考察条件和时长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836" w:type="dxa"/>
            <w:vAlign w:val="top"/>
          </w:tcPr>
          <w:p>
            <w:pPr>
              <w:pStyle w:val="6"/>
              <w:spacing w:before="135" w:line="221" w:lineRule="auto"/>
              <w:ind w:left="117"/>
              <w:rPr>
                <w:sz w:val="20"/>
                <w:szCs w:val="20"/>
              </w:rPr>
            </w:pPr>
            <w:r>
              <w:rPr>
                <w:spacing w:val="-1"/>
                <w:sz w:val="20"/>
                <w:szCs w:val="20"/>
              </w:rPr>
              <w:t>样品离心分离前</w:t>
            </w:r>
          </w:p>
        </w:tc>
        <w:tc>
          <w:tcPr>
            <w:tcW w:w="2697"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6" w:type="dxa"/>
            <w:vAlign w:val="top"/>
          </w:tcPr>
          <w:p>
            <w:pPr>
              <w:pStyle w:val="6"/>
              <w:spacing w:before="136" w:line="221" w:lineRule="auto"/>
              <w:ind w:left="119"/>
              <w:rPr>
                <w:sz w:val="20"/>
                <w:szCs w:val="20"/>
              </w:rPr>
            </w:pPr>
            <w:r>
              <w:rPr>
                <w:spacing w:val="-1"/>
                <w:sz w:val="20"/>
                <w:szCs w:val="20"/>
              </w:rPr>
              <w:t>生物样品前处理过程</w:t>
            </w:r>
          </w:p>
        </w:tc>
        <w:tc>
          <w:tcPr>
            <w:tcW w:w="2697"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36" w:type="dxa"/>
            <w:vAlign w:val="top"/>
          </w:tcPr>
          <w:p>
            <w:pPr>
              <w:pStyle w:val="6"/>
              <w:spacing w:before="137" w:line="221" w:lineRule="auto"/>
              <w:ind w:left="118"/>
              <w:rPr>
                <w:sz w:val="20"/>
                <w:szCs w:val="20"/>
              </w:rPr>
            </w:pPr>
            <w:r>
              <w:rPr>
                <w:spacing w:val="-1"/>
                <w:sz w:val="20"/>
                <w:szCs w:val="20"/>
              </w:rPr>
              <w:t>制备后样品</w:t>
            </w:r>
          </w:p>
        </w:tc>
        <w:tc>
          <w:tcPr>
            <w:tcW w:w="2697"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36" w:type="dxa"/>
            <w:vAlign w:val="top"/>
          </w:tcPr>
          <w:p>
            <w:pPr>
              <w:pStyle w:val="6"/>
              <w:spacing w:before="138" w:line="221" w:lineRule="auto"/>
              <w:ind w:left="119"/>
              <w:rPr>
                <w:sz w:val="20"/>
                <w:szCs w:val="20"/>
              </w:rPr>
            </w:pPr>
            <w:r>
              <w:rPr>
                <w:spacing w:val="-1"/>
                <w:sz w:val="20"/>
                <w:szCs w:val="20"/>
              </w:rPr>
              <w:t>生物基质中待测物长期存储</w:t>
            </w:r>
          </w:p>
        </w:tc>
        <w:tc>
          <w:tcPr>
            <w:tcW w:w="2697" w:type="dxa"/>
            <w:vAlign w:val="top"/>
          </w:tcPr>
          <w:p>
            <w:pPr>
              <w:rPr>
                <w:rFonts w:ascii="Arial"/>
                <w:sz w:val="21"/>
              </w:rPr>
            </w:pPr>
          </w:p>
        </w:tc>
        <w:tc>
          <w:tcPr>
            <w:tcW w:w="2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36" w:type="dxa"/>
            <w:vAlign w:val="top"/>
          </w:tcPr>
          <w:p>
            <w:pPr>
              <w:spacing w:before="292" w:line="63" w:lineRule="exact"/>
              <w:ind w:left="132"/>
              <w:rPr>
                <w:rFonts w:ascii="Times New Roman" w:hAnsi="Times New Roman" w:eastAsia="Times New Roman" w:cs="Times New Roman"/>
                <w:sz w:val="20"/>
                <w:szCs w:val="20"/>
              </w:rPr>
            </w:pPr>
            <w:r>
              <w:rPr>
                <w:rFonts w:ascii="Times New Roman" w:hAnsi="Times New Roman" w:eastAsia="Times New Roman" w:cs="Times New Roman"/>
                <w:spacing w:val="-5"/>
                <w:position w:val="1"/>
                <w:sz w:val="20"/>
                <w:szCs w:val="20"/>
              </w:rPr>
              <w:t>……</w:t>
            </w:r>
          </w:p>
        </w:tc>
        <w:tc>
          <w:tcPr>
            <w:tcW w:w="2697" w:type="dxa"/>
            <w:vAlign w:val="top"/>
          </w:tcPr>
          <w:p>
            <w:pPr>
              <w:rPr>
                <w:rFonts w:ascii="Arial"/>
                <w:sz w:val="21"/>
              </w:rPr>
            </w:pPr>
          </w:p>
        </w:tc>
        <w:tc>
          <w:tcPr>
            <w:tcW w:w="2769" w:type="dxa"/>
            <w:vAlign w:val="top"/>
          </w:tcPr>
          <w:p>
            <w:pPr>
              <w:rPr>
                <w:rFonts w:ascii="Arial"/>
                <w:sz w:val="21"/>
              </w:rPr>
            </w:pPr>
          </w:p>
        </w:tc>
      </w:tr>
    </w:tbl>
    <w:p>
      <w:pPr>
        <w:pStyle w:val="2"/>
        <w:spacing w:before="114" w:line="220" w:lineRule="auto"/>
        <w:ind w:left="23"/>
        <w:outlineLvl w:val="0"/>
      </w:pPr>
      <w:r>
        <w:rPr>
          <w:rFonts w:ascii="Times New Roman" w:hAnsi="Times New Roman" w:eastAsia="Times New Roman" w:cs="Times New Roman"/>
          <w:b/>
          <w:bCs/>
          <w:spacing w:val="-1"/>
        </w:rPr>
        <w:t>7.</w:t>
      </w:r>
      <w:r>
        <w:rPr>
          <w:spacing w:val="-1"/>
          <w14:textOutline w14:w="4354" w14:cap="flat" w14:cmpd="sng">
            <w14:solidFill>
              <w14:srgbClr w14:val="000000"/>
            </w14:solidFill>
            <w14:prstDash w14:val="solid"/>
            <w14:miter w14:val="10"/>
          </w14:textOutline>
        </w:rPr>
        <w:t>生物样品分析方法</w:t>
      </w:r>
    </w:p>
    <w:p>
      <w:pPr>
        <w:pStyle w:val="2"/>
        <w:spacing w:before="180" w:line="219" w:lineRule="auto"/>
        <w:ind w:left="509"/>
      </w:pPr>
      <w:r>
        <w:rPr>
          <w:spacing w:val="-2"/>
        </w:rPr>
        <w:t>简述生物样品分析中采用的对照品信息和分析方法。</w:t>
      </w:r>
    </w:p>
    <w:p>
      <w:pPr>
        <w:spacing w:line="250" w:lineRule="auto"/>
        <w:rPr>
          <w:rFonts w:ascii="Arial"/>
          <w:sz w:val="21"/>
        </w:rPr>
      </w:pPr>
    </w:p>
    <w:p>
      <w:pPr>
        <w:pStyle w:val="2"/>
        <w:spacing w:before="69" w:line="221" w:lineRule="auto"/>
        <w:ind w:left="3123"/>
        <w:rPr>
          <w:sz w:val="21"/>
          <w:szCs w:val="21"/>
        </w:rPr>
      </w:pPr>
      <w:r>
        <w:rPr>
          <w:spacing w:val="-2"/>
          <w:sz w:val="21"/>
          <w:szCs w:val="21"/>
          <w14:textOutline w14:w="3831" w14:cap="flat" w14:cmpd="sng">
            <w14:solidFill>
              <w14:srgbClr w14:val="000000"/>
            </w14:solidFill>
            <w14:prstDash w14:val="solid"/>
            <w14:miter w14:val="10"/>
          </w14:textOutline>
        </w:rPr>
        <w:t>分析方法概述（示例）</w:t>
      </w:r>
    </w:p>
    <w:p>
      <w:pPr>
        <w:spacing w:line="205"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8"/>
        <w:gridCol w:w="2452"/>
        <w:gridCol w:w="24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Align w:val="top"/>
          </w:tcPr>
          <w:p>
            <w:pPr>
              <w:pStyle w:val="6"/>
              <w:spacing w:before="120" w:line="221" w:lineRule="auto"/>
              <w:ind w:left="120"/>
            </w:pPr>
            <w:r>
              <w:rPr>
                <w:spacing w:val="-2"/>
              </w:rPr>
              <w:t>待测物</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398" w:type="dxa"/>
            <w:vAlign w:val="top"/>
          </w:tcPr>
          <w:p>
            <w:pPr>
              <w:pStyle w:val="6"/>
              <w:spacing w:before="116" w:line="221" w:lineRule="auto"/>
              <w:ind w:left="143"/>
            </w:pPr>
            <w:r>
              <w:rPr>
                <w:spacing w:val="-8"/>
              </w:rPr>
              <w:t>内标</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6" w:line="221" w:lineRule="auto"/>
              <w:ind w:left="120"/>
            </w:pPr>
            <w:r>
              <w:rPr>
                <w:spacing w:val="-2"/>
              </w:rPr>
              <w:t>分析方法</w:t>
            </w:r>
          </w:p>
        </w:tc>
        <w:tc>
          <w:tcPr>
            <w:tcW w:w="4904" w:type="dxa"/>
            <w:gridSpan w:val="2"/>
            <w:vAlign w:val="top"/>
          </w:tcPr>
          <w:p>
            <w:pPr>
              <w:pStyle w:val="6"/>
              <w:spacing w:before="116" w:line="221" w:lineRule="auto"/>
              <w:ind w:left="118"/>
            </w:pPr>
            <w:r>
              <w:rPr>
                <w:spacing w:val="-3"/>
              </w:rPr>
              <w:t>如高效液相色谱</w:t>
            </w:r>
            <w:r>
              <w:rPr>
                <w:rFonts w:ascii="Times New Roman" w:hAnsi="Times New Roman" w:eastAsia="Times New Roman" w:cs="Times New Roman"/>
                <w:spacing w:val="-3"/>
              </w:rPr>
              <w:t>-</w:t>
            </w:r>
            <w:r>
              <w:rPr>
                <w:rFonts w:ascii="Times New Roman" w:hAnsi="Times New Roman" w:eastAsia="Times New Roman" w:cs="Times New Roman"/>
                <w:spacing w:val="-21"/>
              </w:rPr>
              <w:t xml:space="preserve"> </w:t>
            </w:r>
            <w:r>
              <w:rPr>
                <w:spacing w:val="-3"/>
              </w:rPr>
              <w:t>串联质谱法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7" w:line="222" w:lineRule="auto"/>
              <w:ind w:left="121"/>
            </w:pPr>
            <w:r>
              <w:rPr>
                <w:spacing w:val="-2"/>
              </w:rPr>
              <w:t>设备名称</w:t>
            </w:r>
          </w:p>
        </w:tc>
        <w:tc>
          <w:tcPr>
            <w:tcW w:w="2452" w:type="dxa"/>
            <w:vAlign w:val="top"/>
          </w:tcPr>
          <w:p>
            <w:pPr>
              <w:pStyle w:val="6"/>
              <w:spacing w:before="117" w:line="221" w:lineRule="auto"/>
              <w:ind w:left="116"/>
            </w:pPr>
            <w:r>
              <w:rPr>
                <w:spacing w:val="-2"/>
              </w:rPr>
              <w:t>制造商</w:t>
            </w:r>
          </w:p>
        </w:tc>
        <w:tc>
          <w:tcPr>
            <w:tcW w:w="2452" w:type="dxa"/>
            <w:vAlign w:val="top"/>
          </w:tcPr>
          <w:p>
            <w:pPr>
              <w:pStyle w:val="6"/>
              <w:spacing w:before="117" w:line="222" w:lineRule="auto"/>
              <w:ind w:left="119"/>
            </w:pPr>
            <w:r>
              <w:rPr>
                <w:spacing w:val="-4"/>
              </w:rPr>
              <w:t>型号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398" w:type="dxa"/>
            <w:vAlign w:val="top"/>
          </w:tcPr>
          <w:p>
            <w:pPr>
              <w:pStyle w:val="6"/>
              <w:spacing w:before="117" w:line="221" w:lineRule="auto"/>
              <w:ind w:left="124"/>
            </w:pPr>
            <w:r>
              <w:rPr>
                <w:spacing w:val="-2"/>
              </w:rPr>
              <w:t>高效液相色谱</w:t>
            </w:r>
          </w:p>
        </w:tc>
        <w:tc>
          <w:tcPr>
            <w:tcW w:w="2452" w:type="dxa"/>
            <w:vAlign w:val="top"/>
          </w:tcPr>
          <w:p>
            <w:pPr>
              <w:rPr>
                <w:rFonts w:ascii="Arial"/>
                <w:sz w:val="21"/>
              </w:rPr>
            </w:pPr>
          </w:p>
        </w:tc>
        <w:tc>
          <w:tcPr>
            <w:tcW w:w="24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8" w:line="221" w:lineRule="auto"/>
              <w:ind w:left="143"/>
            </w:pPr>
            <w:r>
              <w:rPr>
                <w:spacing w:val="-5"/>
              </w:rPr>
              <w:t>电喷雾离子源</w:t>
            </w:r>
          </w:p>
        </w:tc>
        <w:tc>
          <w:tcPr>
            <w:tcW w:w="2452" w:type="dxa"/>
            <w:vAlign w:val="top"/>
          </w:tcPr>
          <w:p>
            <w:pPr>
              <w:rPr>
                <w:rFonts w:ascii="Arial"/>
                <w:sz w:val="21"/>
              </w:rPr>
            </w:pPr>
          </w:p>
        </w:tc>
        <w:tc>
          <w:tcPr>
            <w:tcW w:w="24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8" w:line="221" w:lineRule="auto"/>
              <w:ind w:left="118"/>
            </w:pPr>
            <w:r>
              <w:rPr>
                <w:spacing w:val="-2"/>
              </w:rPr>
              <w:t>检测器</w:t>
            </w:r>
          </w:p>
        </w:tc>
        <w:tc>
          <w:tcPr>
            <w:tcW w:w="2452" w:type="dxa"/>
            <w:vAlign w:val="top"/>
          </w:tcPr>
          <w:p>
            <w:pPr>
              <w:rPr>
                <w:rFonts w:ascii="Arial"/>
                <w:sz w:val="21"/>
              </w:rPr>
            </w:pPr>
          </w:p>
        </w:tc>
        <w:tc>
          <w:tcPr>
            <w:tcW w:w="24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398" w:type="dxa"/>
            <w:vMerge w:val="restart"/>
            <w:tcBorders>
              <w:bottom w:val="nil"/>
            </w:tcBorders>
            <w:vAlign w:val="top"/>
          </w:tcPr>
          <w:p>
            <w:pPr>
              <w:spacing w:line="279" w:lineRule="auto"/>
              <w:rPr>
                <w:rFonts w:ascii="Arial"/>
                <w:sz w:val="21"/>
              </w:rPr>
            </w:pPr>
          </w:p>
          <w:p>
            <w:pPr>
              <w:pStyle w:val="6"/>
              <w:spacing w:before="68" w:line="221" w:lineRule="auto"/>
              <w:ind w:left="120"/>
            </w:pPr>
            <w:r>
              <w:rPr>
                <w:spacing w:val="-2"/>
              </w:rPr>
              <w:t>分析软件</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Merge w:val="continue"/>
            <w:tcBorders>
              <w:top w:val="nil"/>
            </w:tcBorders>
            <w:vAlign w:val="top"/>
          </w:tcPr>
          <w:p>
            <w:pPr>
              <w:rPr>
                <w:rFonts w:ascii="Arial"/>
                <w:sz w:val="21"/>
              </w:rPr>
            </w:pP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9" w:line="221" w:lineRule="auto"/>
              <w:ind w:left="121"/>
            </w:pPr>
            <w:r>
              <w:rPr>
                <w:spacing w:val="-1"/>
              </w:rPr>
              <w:t>离子化方式</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398" w:type="dxa"/>
            <w:vAlign w:val="top"/>
          </w:tcPr>
          <w:p>
            <w:pPr>
              <w:pStyle w:val="6"/>
              <w:spacing w:before="119" w:line="222" w:lineRule="auto"/>
              <w:ind w:left="120"/>
            </w:pPr>
            <w:r>
              <w:rPr>
                <w:spacing w:val="-2"/>
              </w:rPr>
              <w:t>扫描方式</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20" w:line="221" w:lineRule="auto"/>
              <w:ind w:left="123"/>
            </w:pPr>
            <w:r>
              <w:rPr>
                <w:spacing w:val="-2"/>
              </w:rPr>
              <w:t>定量离子对</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0" w:line="221" w:lineRule="auto"/>
              <w:ind w:right="7"/>
              <w:jc w:val="right"/>
            </w:pPr>
            <w:r>
              <w:rPr>
                <w:spacing w:val="-6"/>
              </w:rPr>
              <w:t>色谱柱型号及所用批号（包括预柱）</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Align w:val="top"/>
          </w:tcPr>
          <w:p>
            <w:pPr>
              <w:pStyle w:val="6"/>
              <w:spacing w:before="120" w:line="221" w:lineRule="auto"/>
              <w:ind w:left="119"/>
            </w:pPr>
            <w:r>
              <w:rPr>
                <w:spacing w:val="-1"/>
              </w:rPr>
              <w:t>流动相及流速</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Align w:val="top"/>
          </w:tcPr>
          <w:p>
            <w:pPr>
              <w:pStyle w:val="6"/>
              <w:spacing w:before="121" w:line="221" w:lineRule="auto"/>
              <w:ind w:left="118"/>
            </w:pPr>
            <w:r>
              <w:rPr>
                <w:spacing w:val="-2"/>
              </w:rPr>
              <w:t>柱温</w:t>
            </w:r>
          </w:p>
        </w:tc>
        <w:tc>
          <w:tcPr>
            <w:tcW w:w="4904"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pgSz w:w="11905" w:h="16839"/>
          <w:pgMar w:top="1431" w:right="1719" w:bottom="0" w:left="1785" w:header="0" w:footer="0" w:gutter="0"/>
          <w:cols w:space="720" w:num="1"/>
        </w:sectPr>
      </w:pPr>
    </w:p>
    <w:p>
      <w:pPr>
        <w:spacing w:line="95" w:lineRule="auto"/>
        <w:rPr>
          <w:rFonts w:ascii="Arial"/>
          <w:sz w:val="2"/>
        </w:rPr>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8"/>
        <w:gridCol w:w="4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398" w:type="dxa"/>
            <w:vAlign w:val="top"/>
          </w:tcPr>
          <w:p>
            <w:pPr>
              <w:pStyle w:val="6"/>
              <w:spacing w:before="120" w:line="221" w:lineRule="auto"/>
              <w:ind w:left="117"/>
            </w:pPr>
            <w:r>
              <w:t>样品的生物基质</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Align w:val="top"/>
          </w:tcPr>
          <w:p>
            <w:pPr>
              <w:pStyle w:val="6"/>
              <w:spacing w:before="117" w:line="220" w:lineRule="auto"/>
              <w:ind w:left="118"/>
            </w:pPr>
            <w:r>
              <w:rPr>
                <w:spacing w:val="-2"/>
              </w:rPr>
              <w:t>抗凝剂</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8" w:line="221" w:lineRule="auto"/>
              <w:ind w:left="120"/>
            </w:pPr>
            <w:r>
              <w:rPr>
                <w:spacing w:val="-1"/>
              </w:rPr>
              <w:t>生物基质来源</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8" w:line="221" w:lineRule="auto"/>
              <w:ind w:left="117"/>
            </w:pPr>
            <w:r>
              <w:rPr>
                <w:spacing w:val="-1"/>
              </w:rPr>
              <w:t>样品预处理方法</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Align w:val="top"/>
          </w:tcPr>
          <w:p>
            <w:pPr>
              <w:pStyle w:val="6"/>
              <w:spacing w:before="119" w:line="221" w:lineRule="auto"/>
              <w:ind w:left="116"/>
            </w:pPr>
            <w:r>
              <w:rPr>
                <w:spacing w:val="-1"/>
              </w:rPr>
              <w:t>进样量</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Align w:val="top"/>
          </w:tcPr>
          <w:p>
            <w:pPr>
              <w:pStyle w:val="6"/>
              <w:spacing w:before="121" w:line="221" w:lineRule="auto"/>
              <w:ind w:left="119"/>
            </w:pPr>
            <w:r>
              <w:rPr>
                <w:spacing w:val="-1"/>
              </w:rPr>
              <w:t>保留时间</w:t>
            </w:r>
          </w:p>
        </w:tc>
        <w:tc>
          <w:tcPr>
            <w:tcW w:w="4904" w:type="dxa"/>
            <w:vAlign w:val="top"/>
          </w:tcPr>
          <w:p>
            <w:pPr>
              <w:rPr>
                <w:rFonts w:ascii="Arial"/>
                <w:sz w:val="21"/>
              </w:rPr>
            </w:pPr>
          </w:p>
        </w:tc>
      </w:tr>
    </w:tbl>
    <w:p>
      <w:pPr>
        <w:pStyle w:val="2"/>
        <w:spacing w:before="169" w:line="221" w:lineRule="auto"/>
        <w:ind w:left="3225"/>
        <w:rPr>
          <w:sz w:val="21"/>
          <w:szCs w:val="21"/>
        </w:rPr>
      </w:pPr>
      <w:r>
        <w:rPr>
          <w:spacing w:val="-2"/>
          <w:sz w:val="21"/>
          <w:szCs w:val="21"/>
          <w14:textOutline w14:w="3831" w14:cap="flat" w14:cmpd="sng">
            <w14:solidFill>
              <w14:srgbClr w14:val="000000"/>
            </w14:solidFill>
            <w14:prstDash w14:val="solid"/>
            <w14:miter w14:val="10"/>
          </w14:textOutline>
        </w:rPr>
        <w:t>对照品详情（示例）</w:t>
      </w:r>
    </w:p>
    <w:p>
      <w:pPr>
        <w:spacing w:line="131"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9"/>
        <w:gridCol w:w="1962"/>
        <w:gridCol w:w="1963"/>
        <w:gridCol w:w="1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409" w:type="dxa"/>
            <w:vAlign w:val="top"/>
          </w:tcPr>
          <w:p>
            <w:pPr>
              <w:rPr>
                <w:rFonts w:ascii="Arial"/>
                <w:sz w:val="21"/>
              </w:rPr>
            </w:pPr>
          </w:p>
        </w:tc>
        <w:tc>
          <w:tcPr>
            <w:tcW w:w="1962" w:type="dxa"/>
            <w:vAlign w:val="top"/>
          </w:tcPr>
          <w:p>
            <w:pPr>
              <w:pStyle w:val="6"/>
              <w:spacing w:before="125" w:line="221" w:lineRule="auto"/>
              <w:ind w:left="587"/>
              <w:rPr>
                <w:rFonts w:ascii="Times New Roman" w:hAnsi="Times New Roman" w:eastAsia="Times New Roman" w:cs="Times New Roman"/>
              </w:rPr>
            </w:pPr>
            <w:r>
              <w:rPr>
                <w:spacing w:val="-2"/>
                <w14:textOutline w14:w="3831" w14:cap="flat" w14:cmpd="sng">
                  <w14:solidFill>
                    <w14:srgbClr w14:val="000000"/>
                  </w14:solidFill>
                  <w14:prstDash w14:val="solid"/>
                  <w14:miter w14:val="10"/>
                </w14:textOutline>
              </w:rPr>
              <w:t>待测物</w:t>
            </w:r>
            <w:r>
              <w:rPr>
                <w:spacing w:val="-33"/>
              </w:rPr>
              <w:t xml:space="preserve"> </w:t>
            </w:r>
            <w:r>
              <w:rPr>
                <w:rFonts w:ascii="Times New Roman" w:hAnsi="Times New Roman" w:eastAsia="Times New Roman" w:cs="Times New Roman"/>
                <w:b/>
                <w:bCs/>
                <w:spacing w:val="-2"/>
              </w:rPr>
              <w:t>1</w:t>
            </w:r>
          </w:p>
        </w:tc>
        <w:tc>
          <w:tcPr>
            <w:tcW w:w="1963" w:type="dxa"/>
            <w:vAlign w:val="top"/>
          </w:tcPr>
          <w:p>
            <w:pPr>
              <w:pStyle w:val="6"/>
              <w:spacing w:before="125" w:line="221" w:lineRule="auto"/>
              <w:ind w:left="176"/>
            </w:pPr>
            <w:r>
              <w:rPr>
                <w:spacing w:val="-3"/>
                <w14:textOutline w14:w="3831" w14:cap="flat" w14:cmpd="sng">
                  <w14:solidFill>
                    <w14:srgbClr w14:val="000000"/>
                  </w14:solidFill>
                  <w14:prstDash w14:val="solid"/>
                  <w14:miter w14:val="10"/>
                </w14:textOutline>
              </w:rPr>
              <w:t>待测物</w:t>
            </w:r>
            <w:r>
              <w:rPr>
                <w:spacing w:val="-42"/>
              </w:rPr>
              <w:t xml:space="preserve"> </w:t>
            </w:r>
            <w:r>
              <w:rPr>
                <w:rFonts w:ascii="Times New Roman" w:hAnsi="Times New Roman" w:eastAsia="Times New Roman" w:cs="Times New Roman"/>
                <w:b/>
                <w:bCs/>
                <w:spacing w:val="-3"/>
              </w:rPr>
              <w:t>2</w:t>
            </w:r>
            <w:r>
              <w:rPr>
                <w:spacing w:val="-3"/>
                <w14:textOutline w14:w="3831" w14:cap="flat" w14:cmpd="sng">
                  <w14:solidFill>
                    <w14:srgbClr w14:val="000000"/>
                  </w14:solidFill>
                  <w14:prstDash w14:val="solid"/>
                  <w14:miter w14:val="10"/>
                </w14:textOutline>
              </w:rPr>
              <w:t>（如有）</w:t>
            </w:r>
          </w:p>
        </w:tc>
        <w:tc>
          <w:tcPr>
            <w:tcW w:w="1968" w:type="dxa"/>
            <w:vAlign w:val="top"/>
          </w:tcPr>
          <w:p>
            <w:pPr>
              <w:pStyle w:val="6"/>
              <w:spacing w:before="125" w:line="221" w:lineRule="auto"/>
              <w:ind w:left="806"/>
            </w:pPr>
            <w:r>
              <w:rPr>
                <w:spacing w:val="-8"/>
                <w14:textOutline w14:w="3831" w14:cap="flat" w14:cmpd="sng">
                  <w14:solidFill>
                    <w14:srgbClr w14:val="000000"/>
                  </w14:solidFill>
                  <w14:prstDash w14:val="solid"/>
                  <w14:miter w14:val="10"/>
                </w14:textOutline>
              </w:rPr>
              <w:t>内标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409" w:type="dxa"/>
            <w:vAlign w:val="top"/>
          </w:tcPr>
          <w:p>
            <w:pPr>
              <w:pStyle w:val="6"/>
              <w:spacing w:before="121" w:line="222" w:lineRule="auto"/>
              <w:ind w:left="119"/>
            </w:pPr>
            <w:r>
              <w:rPr>
                <w:spacing w:val="-1"/>
              </w:rPr>
              <w:t>化合物名称</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09" w:type="dxa"/>
            <w:vAlign w:val="top"/>
          </w:tcPr>
          <w:p>
            <w:pPr>
              <w:pStyle w:val="6"/>
              <w:spacing w:before="121" w:line="221" w:lineRule="auto"/>
              <w:ind w:left="119"/>
            </w:pPr>
            <w:r>
              <w:rPr>
                <w:spacing w:val="-1"/>
              </w:rPr>
              <w:t>贮藏条件</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09" w:type="dxa"/>
            <w:vAlign w:val="top"/>
          </w:tcPr>
          <w:p>
            <w:pPr>
              <w:pStyle w:val="6"/>
              <w:spacing w:before="122" w:line="222" w:lineRule="auto"/>
              <w:ind w:left="117"/>
            </w:pPr>
            <w:r>
              <w:rPr>
                <w:spacing w:val="-2"/>
              </w:rPr>
              <w:t>批号</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409" w:type="dxa"/>
            <w:vAlign w:val="top"/>
          </w:tcPr>
          <w:p>
            <w:pPr>
              <w:pStyle w:val="6"/>
              <w:spacing w:before="123" w:line="234" w:lineRule="auto"/>
              <w:ind w:left="120"/>
            </w:pPr>
            <w:r>
              <w:rPr>
                <w:spacing w:val="-2"/>
              </w:rPr>
              <w:t>纯度</w:t>
            </w:r>
            <w:r>
              <w:rPr>
                <w:rFonts w:ascii="Times New Roman" w:hAnsi="Times New Roman" w:eastAsia="Times New Roman" w:cs="Times New Roman"/>
                <w:spacing w:val="-2"/>
              </w:rPr>
              <w:t>/</w:t>
            </w:r>
            <w:r>
              <w:rPr>
                <w:spacing w:val="-2"/>
              </w:rPr>
              <w:t>含量</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409" w:type="dxa"/>
            <w:vAlign w:val="top"/>
          </w:tcPr>
          <w:p>
            <w:pPr>
              <w:pStyle w:val="6"/>
              <w:spacing w:before="123" w:line="221" w:lineRule="auto"/>
              <w:ind w:left="120"/>
            </w:pPr>
            <w:r>
              <w:rPr>
                <w:spacing w:val="-1"/>
              </w:rPr>
              <w:t>总校正系数</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09" w:type="dxa"/>
            <w:vAlign w:val="top"/>
          </w:tcPr>
          <w:p>
            <w:pPr>
              <w:pStyle w:val="6"/>
              <w:spacing w:before="123" w:line="221" w:lineRule="auto"/>
              <w:ind w:left="120"/>
            </w:pPr>
            <w:r>
              <w:rPr>
                <w:spacing w:val="-1"/>
              </w:rPr>
              <w:t>用途（是否用于定量）</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409" w:type="dxa"/>
            <w:vAlign w:val="top"/>
          </w:tcPr>
          <w:p>
            <w:pPr>
              <w:pStyle w:val="6"/>
              <w:spacing w:before="124" w:line="221" w:lineRule="auto"/>
              <w:ind w:left="123"/>
            </w:pPr>
            <w:r>
              <w:rPr>
                <w:spacing w:val="-3"/>
              </w:rPr>
              <w:t>失效期</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409" w:type="dxa"/>
            <w:vAlign w:val="top"/>
          </w:tcPr>
          <w:p>
            <w:pPr>
              <w:pStyle w:val="6"/>
              <w:spacing w:before="124" w:line="221" w:lineRule="auto"/>
              <w:ind w:left="119"/>
            </w:pPr>
            <w:r>
              <w:rPr>
                <w:spacing w:val="-2"/>
              </w:rPr>
              <w:t>来源</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09" w:type="dxa"/>
            <w:vAlign w:val="top"/>
          </w:tcPr>
          <w:p>
            <w:pPr>
              <w:pStyle w:val="6"/>
              <w:spacing w:before="125" w:line="219" w:lineRule="auto"/>
              <w:ind w:left="119"/>
            </w:pPr>
            <w:r>
              <w:rPr>
                <w:spacing w:val="-1"/>
              </w:rPr>
              <w:t>质检报告文件编号</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09" w:type="dxa"/>
            <w:vAlign w:val="top"/>
          </w:tcPr>
          <w:p>
            <w:pPr>
              <w:spacing w:before="286" w:line="66" w:lineRule="exact"/>
              <w:ind w:left="133"/>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w:t>
            </w:r>
          </w:p>
        </w:tc>
        <w:tc>
          <w:tcPr>
            <w:tcW w:w="1962" w:type="dxa"/>
            <w:vAlign w:val="top"/>
          </w:tcPr>
          <w:p>
            <w:pPr>
              <w:rPr>
                <w:rFonts w:ascii="Arial"/>
                <w:sz w:val="21"/>
              </w:rPr>
            </w:pPr>
          </w:p>
        </w:tc>
        <w:tc>
          <w:tcPr>
            <w:tcW w:w="1963" w:type="dxa"/>
            <w:vAlign w:val="top"/>
          </w:tcPr>
          <w:p>
            <w:pPr>
              <w:rPr>
                <w:rFonts w:ascii="Arial"/>
                <w:sz w:val="21"/>
              </w:rPr>
            </w:pPr>
          </w:p>
        </w:tc>
        <w:tc>
          <w:tcPr>
            <w:tcW w:w="1968" w:type="dxa"/>
            <w:vAlign w:val="top"/>
          </w:tcPr>
          <w:p>
            <w:pPr>
              <w:rPr>
                <w:rFonts w:ascii="Arial"/>
                <w:sz w:val="21"/>
              </w:rPr>
            </w:pPr>
          </w:p>
        </w:tc>
      </w:tr>
    </w:tbl>
    <w:p>
      <w:pPr>
        <w:pStyle w:val="2"/>
        <w:spacing w:before="115" w:line="221" w:lineRule="auto"/>
        <w:ind w:left="23"/>
        <w:outlineLvl w:val="0"/>
      </w:pPr>
      <w:r>
        <w:rPr>
          <w:rFonts w:ascii="Times New Roman" w:hAnsi="Times New Roman" w:eastAsia="Times New Roman" w:cs="Times New Roman"/>
          <w:b/>
          <w:bCs/>
          <w:spacing w:val="-1"/>
        </w:rPr>
        <w:t>8.</w:t>
      </w:r>
      <w:r>
        <w:rPr>
          <w:spacing w:val="-1"/>
          <w14:textOutline w14:w="4354" w14:cap="flat" w14:cmpd="sng">
            <w14:solidFill>
              <w14:srgbClr w14:val="000000"/>
            </w14:solidFill>
            <w14:prstDash w14:val="solid"/>
            <w14:miter w14:val="10"/>
          </w14:textOutline>
        </w:rPr>
        <w:t>方法学验证</w:t>
      </w:r>
    </w:p>
    <w:p>
      <w:pPr>
        <w:pStyle w:val="2"/>
        <w:spacing w:before="255" w:line="219" w:lineRule="auto"/>
        <w:ind w:left="509"/>
      </w:pPr>
      <w:r>
        <w:rPr>
          <w:spacing w:val="-2"/>
        </w:rPr>
        <w:t>简述方法学验证起止时间、考察项目及具体数据结果。</w:t>
      </w:r>
    </w:p>
    <w:p>
      <w:pPr>
        <w:spacing w:line="251" w:lineRule="auto"/>
        <w:rPr>
          <w:rFonts w:ascii="Arial"/>
          <w:sz w:val="21"/>
        </w:rPr>
      </w:pPr>
    </w:p>
    <w:p>
      <w:pPr>
        <w:pStyle w:val="2"/>
        <w:spacing w:before="68" w:line="221" w:lineRule="auto"/>
        <w:ind w:left="3015"/>
        <w:rPr>
          <w:sz w:val="21"/>
          <w:szCs w:val="21"/>
        </w:rPr>
      </w:pPr>
      <w:r>
        <w:rPr>
          <w:spacing w:val="-1"/>
          <w:sz w:val="21"/>
          <w:szCs w:val="21"/>
          <w14:textOutline w14:w="3831" w14:cap="flat" w14:cmpd="sng">
            <w14:solidFill>
              <w14:srgbClr w14:val="000000"/>
            </w14:solidFill>
            <w14:prstDash w14:val="solid"/>
            <w14:miter w14:val="10"/>
          </w14:textOutline>
        </w:rPr>
        <w:t>方法学验证结果（示例）</w:t>
      </w:r>
    </w:p>
    <w:p>
      <w:pPr>
        <w:spacing w:line="131"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8"/>
        <w:gridCol w:w="4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2" w:line="221" w:lineRule="auto"/>
              <w:ind w:left="1490"/>
              <w:rPr>
                <w:sz w:val="22"/>
                <w:szCs w:val="22"/>
              </w:rPr>
            </w:pPr>
            <w:r>
              <w:rPr>
                <w:spacing w:val="-3"/>
                <w:sz w:val="22"/>
                <w:szCs w:val="22"/>
                <w14:textOutline w14:w="4005" w14:cap="flat" w14:cmpd="sng">
                  <w14:solidFill>
                    <w14:srgbClr w14:val="000000"/>
                  </w14:solidFill>
                  <w14:prstDash w14:val="solid"/>
                  <w14:miter w14:val="10"/>
                </w14:textOutline>
              </w:rPr>
              <w:t>项目</w:t>
            </w:r>
          </w:p>
        </w:tc>
        <w:tc>
          <w:tcPr>
            <w:tcW w:w="4904" w:type="dxa"/>
            <w:vAlign w:val="top"/>
          </w:tcPr>
          <w:p>
            <w:pPr>
              <w:pStyle w:val="6"/>
              <w:spacing w:before="122" w:line="220" w:lineRule="auto"/>
              <w:ind w:left="1801"/>
              <w:rPr>
                <w:sz w:val="22"/>
                <w:szCs w:val="22"/>
              </w:rPr>
            </w:pPr>
            <w:r>
              <w:rPr>
                <w:spacing w:val="-4"/>
                <w:sz w:val="22"/>
                <w:szCs w:val="22"/>
                <w14:textOutline w14:w="4005" w14:cap="flat" w14:cmpd="sng">
                  <w14:solidFill>
                    <w14:srgbClr w14:val="000000"/>
                  </w14:solidFill>
                  <w14:prstDash w14:val="solid"/>
                  <w14:miter w14:val="10"/>
                </w14:textOutline>
              </w:rPr>
              <w:t>结果（数据）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98" w:type="dxa"/>
            <w:vAlign w:val="top"/>
          </w:tcPr>
          <w:p>
            <w:pPr>
              <w:pStyle w:val="6"/>
              <w:spacing w:before="208" w:line="219" w:lineRule="auto"/>
              <w:ind w:left="120"/>
            </w:pPr>
            <w:r>
              <w:rPr>
                <w:spacing w:val="-1"/>
              </w:rPr>
              <w:t>生物分析方法学验证报告</w:t>
            </w:r>
          </w:p>
        </w:tc>
        <w:tc>
          <w:tcPr>
            <w:tcW w:w="4904" w:type="dxa"/>
            <w:vAlign w:val="top"/>
          </w:tcPr>
          <w:p>
            <w:pPr>
              <w:pStyle w:val="6"/>
              <w:spacing w:before="54" w:line="312" w:lineRule="exact"/>
              <w:ind w:left="113"/>
            </w:pPr>
            <w:r>
              <w:rPr>
                <w:spacing w:val="-8"/>
                <w:position w:val="7"/>
              </w:rPr>
              <w:t>报告编号：</w:t>
            </w:r>
          </w:p>
          <w:p>
            <w:pPr>
              <w:pStyle w:val="6"/>
              <w:spacing w:line="221" w:lineRule="auto"/>
              <w:ind w:left="116"/>
            </w:pPr>
            <w:r>
              <w:rPr>
                <w:spacing w:val="-9"/>
              </w:rPr>
              <w:t>起止时间：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Align w:val="top"/>
          </w:tcPr>
          <w:p>
            <w:pPr>
              <w:pStyle w:val="6"/>
              <w:spacing w:before="117" w:line="221" w:lineRule="auto"/>
              <w:ind w:left="123"/>
            </w:pPr>
            <w:r>
              <w:rPr>
                <w:spacing w:val="-2"/>
              </w:rPr>
              <w:t>定量指标</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2" w:line="221" w:lineRule="auto"/>
              <w:ind w:left="139"/>
            </w:pPr>
            <w:r>
              <w:rPr>
                <w:spacing w:val="-5"/>
              </w:rPr>
              <w:t>回归方程</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3" w:line="221" w:lineRule="auto"/>
              <w:ind w:left="117"/>
            </w:pPr>
            <w:r>
              <w:rPr>
                <w:spacing w:val="-1"/>
              </w:rPr>
              <w:t>权重系数</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98" w:type="dxa"/>
            <w:vAlign w:val="top"/>
          </w:tcPr>
          <w:p>
            <w:pPr>
              <w:pStyle w:val="6"/>
              <w:spacing w:before="206" w:line="221" w:lineRule="auto"/>
              <w:ind w:left="119"/>
            </w:pPr>
            <w:r>
              <w:rPr>
                <w:spacing w:val="-1"/>
                <w14:textOutline w14:w="3831" w14:cap="flat" w14:cmpd="sng">
                  <w14:solidFill>
                    <w14:srgbClr w14:val="000000"/>
                  </w14:solidFill>
                  <w14:prstDash w14:val="solid"/>
                  <w14:miter w14:val="10"/>
                </w14:textOutline>
              </w:rPr>
              <w:t>标准曲线</w:t>
            </w:r>
          </w:p>
        </w:tc>
        <w:tc>
          <w:tcPr>
            <w:tcW w:w="4904" w:type="dxa"/>
            <w:vAlign w:val="top"/>
          </w:tcPr>
          <w:p>
            <w:pPr>
              <w:pStyle w:val="6"/>
              <w:spacing w:before="52" w:line="312" w:lineRule="exact"/>
              <w:ind w:left="116"/>
            </w:pPr>
            <w:r>
              <w:rPr>
                <w:spacing w:val="-1"/>
                <w:position w:val="7"/>
              </w:rPr>
              <w:t>标准曲线范围和各点浓度值</w:t>
            </w:r>
          </w:p>
          <w:p>
            <w:pPr>
              <w:pStyle w:val="6"/>
              <w:spacing w:line="220" w:lineRule="auto"/>
              <w:ind w:left="115"/>
            </w:pPr>
            <w:r>
              <w:rPr>
                <w:spacing w:val="-1"/>
              </w:rPr>
              <w:t>考察结果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0" w:line="221" w:lineRule="auto"/>
              <w:ind w:left="119"/>
            </w:pPr>
            <w:r>
              <w:rPr>
                <w:spacing w:val="-1"/>
                <w14:textOutline w14:w="3831" w14:cap="flat" w14:cmpd="sng">
                  <w14:solidFill>
                    <w14:srgbClr w14:val="000000"/>
                  </w14:solidFill>
                  <w14:prstDash w14:val="solid"/>
                  <w14:miter w14:val="10"/>
                </w14:textOutline>
              </w:rPr>
              <w:t>质控样品</w:t>
            </w:r>
          </w:p>
        </w:tc>
        <w:tc>
          <w:tcPr>
            <w:tcW w:w="4904" w:type="dxa"/>
            <w:vAlign w:val="top"/>
          </w:tcPr>
          <w:p>
            <w:pPr>
              <w:pStyle w:val="6"/>
              <w:spacing w:before="120" w:line="221" w:lineRule="auto"/>
              <w:ind w:left="119"/>
            </w:pPr>
            <w:r>
              <w:rPr>
                <w:spacing w:val="-1"/>
              </w:rPr>
              <w:t>列出所有的质控样品浓度</w:t>
            </w:r>
          </w:p>
        </w:tc>
      </w:tr>
    </w:tbl>
    <w:p>
      <w:pPr>
        <w:rPr>
          <w:rFonts w:ascii="Arial"/>
          <w:sz w:val="21"/>
        </w:rPr>
      </w:pPr>
    </w:p>
    <w:p>
      <w:pPr>
        <w:rPr>
          <w:rFonts w:ascii="Arial" w:hAnsi="Arial" w:eastAsia="Arial" w:cs="Arial"/>
          <w:sz w:val="21"/>
          <w:szCs w:val="21"/>
        </w:rPr>
        <w:sectPr>
          <w:pgSz w:w="11905" w:h="16839"/>
          <w:pgMar w:top="1431" w:right="1785" w:bottom="0" w:left="1785" w:header="0" w:footer="0" w:gutter="0"/>
          <w:cols w:space="720" w:num="1"/>
        </w:sectPr>
      </w:pPr>
    </w:p>
    <w:p>
      <w:pPr>
        <w:spacing w:line="95" w:lineRule="auto"/>
        <w:rPr>
          <w:rFonts w:ascii="Arial"/>
          <w:sz w:val="2"/>
        </w:rPr>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8"/>
        <w:gridCol w:w="1790"/>
        <w:gridCol w:w="480"/>
        <w:gridCol w:w="1593"/>
        <w:gridCol w:w="10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Align w:val="top"/>
          </w:tcPr>
          <w:p>
            <w:pPr>
              <w:pStyle w:val="6"/>
              <w:spacing w:before="122" w:line="221" w:lineRule="auto"/>
              <w:ind w:left="1485"/>
              <w:rPr>
                <w:sz w:val="22"/>
                <w:szCs w:val="22"/>
              </w:rPr>
            </w:pPr>
            <w:r>
              <w:rPr>
                <w:spacing w:val="-2"/>
                <w:sz w:val="22"/>
                <w:szCs w:val="22"/>
                <w14:textOutline w14:w="4005" w14:cap="flat" w14:cmpd="sng">
                  <w14:solidFill>
                    <w14:srgbClr w14:val="000000"/>
                  </w14:solidFill>
                  <w14:prstDash w14:val="solid"/>
                  <w14:miter w14:val="10"/>
                </w14:textOutline>
              </w:rPr>
              <w:t>项目</w:t>
            </w:r>
          </w:p>
        </w:tc>
        <w:tc>
          <w:tcPr>
            <w:tcW w:w="4904" w:type="dxa"/>
            <w:gridSpan w:val="4"/>
            <w:vAlign w:val="top"/>
          </w:tcPr>
          <w:p>
            <w:pPr>
              <w:pStyle w:val="6"/>
              <w:spacing w:before="122" w:line="220" w:lineRule="auto"/>
              <w:ind w:left="1801"/>
              <w:rPr>
                <w:sz w:val="22"/>
                <w:szCs w:val="22"/>
              </w:rPr>
            </w:pPr>
            <w:r>
              <w:rPr>
                <w:spacing w:val="-4"/>
                <w:sz w:val="22"/>
                <w:szCs w:val="22"/>
                <w14:textOutline w14:w="4005" w14:cap="flat" w14:cmpd="sng">
                  <w14:solidFill>
                    <w14:srgbClr w14:val="000000"/>
                  </w14:solidFill>
                  <w14:prstDash w14:val="solid"/>
                  <w14:miter w14:val="10"/>
                </w14:textOutline>
              </w:rPr>
              <w:t>结果（数据）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398" w:type="dxa"/>
            <w:vAlign w:val="top"/>
          </w:tcPr>
          <w:p>
            <w:pPr>
              <w:pStyle w:val="6"/>
              <w:spacing w:before="121" w:line="222" w:lineRule="auto"/>
              <w:ind w:left="122"/>
            </w:pPr>
            <w:r>
              <w:rPr>
                <w:spacing w:val="-2"/>
                <w14:textOutline w14:w="3831" w14:cap="flat" w14:cmpd="sng">
                  <w14:solidFill>
                    <w14:srgbClr w14:val="000000"/>
                  </w14:solidFill>
                  <w14:prstDash w14:val="solid"/>
                  <w14:miter w14:val="10"/>
                </w14:textOutline>
              </w:rPr>
              <w:t>系统适用性</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21" w:line="222" w:lineRule="auto"/>
              <w:ind w:left="117"/>
            </w:pPr>
            <w:r>
              <w:rPr>
                <w:spacing w:val="-1"/>
                <w14:textOutline w14:w="3831" w14:cap="flat" w14:cmpd="sng">
                  <w14:solidFill>
                    <w14:srgbClr w14:val="000000"/>
                  </w14:solidFill>
                  <w14:prstDash w14:val="solid"/>
                  <w14:miter w14:val="10"/>
                </w14:textOutline>
              </w:rPr>
              <w:t>选择性</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98" w:type="dxa"/>
            <w:vAlign w:val="top"/>
          </w:tcPr>
          <w:p>
            <w:pPr>
              <w:pStyle w:val="6"/>
              <w:spacing w:before="48" w:line="248" w:lineRule="auto"/>
              <w:ind w:left="124" w:right="110" w:hanging="5"/>
            </w:pPr>
            <w:r>
              <w:t>有合并用药时待测物检测的选择性</w:t>
            </w:r>
            <w:r>
              <w:rPr>
                <w:spacing w:val="12"/>
              </w:rPr>
              <w:t xml:space="preserve"> </w:t>
            </w:r>
            <w:r>
              <w:rPr>
                <w:spacing w:val="-4"/>
              </w:rPr>
              <w:t>（若适用）</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2" w:line="221" w:lineRule="auto"/>
              <w:ind w:left="118"/>
            </w:pPr>
            <w:r>
              <w:rPr>
                <w:spacing w:val="-2"/>
                <w14:textOutline w14:w="3831" w14:cap="flat" w14:cmpd="sng">
                  <w14:solidFill>
                    <w14:srgbClr w14:val="000000"/>
                  </w14:solidFill>
                  <w14:prstDash w14:val="solid"/>
                  <w14:miter w14:val="10"/>
                </w14:textOutline>
              </w:rPr>
              <w:t>残留</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3398" w:type="dxa"/>
            <w:vAlign w:val="top"/>
          </w:tcPr>
          <w:p>
            <w:pPr>
              <w:pStyle w:val="6"/>
              <w:spacing w:before="161" w:line="220" w:lineRule="auto"/>
              <w:ind w:left="118"/>
            </w:pPr>
            <w:r>
              <w:rPr>
                <w14:textOutline w14:w="3831" w14:cap="flat" w14:cmpd="sng">
                  <w14:solidFill>
                    <w14:srgbClr w14:val="000000"/>
                  </w14:solidFill>
                  <w14:prstDash w14:val="solid"/>
                  <w14:miter w14:val="10"/>
                </w14:textOutline>
              </w:rPr>
              <w:t>精密度和准确度</w:t>
            </w:r>
          </w:p>
        </w:tc>
        <w:tc>
          <w:tcPr>
            <w:tcW w:w="2270" w:type="dxa"/>
            <w:gridSpan w:val="2"/>
            <w:vAlign w:val="top"/>
          </w:tcPr>
          <w:p>
            <w:pPr>
              <w:pStyle w:val="6"/>
              <w:spacing w:before="161" w:line="220" w:lineRule="auto"/>
              <w:ind w:right="4"/>
              <w:jc w:val="right"/>
            </w:pPr>
            <w:r>
              <w:rPr>
                <w:spacing w:val="-1"/>
              </w:rPr>
              <w:t>精密度最大值（</w:t>
            </w:r>
            <w:r>
              <w:rPr>
                <w:rFonts w:ascii="Times New Roman" w:hAnsi="Times New Roman" w:eastAsia="Times New Roman" w:cs="Times New Roman"/>
                <w:spacing w:val="-1"/>
              </w:rPr>
              <w:t>%CV</w:t>
            </w:r>
            <w:r>
              <w:rPr>
                <w:spacing w:val="-1"/>
              </w:rPr>
              <w:t>）</w:t>
            </w:r>
          </w:p>
        </w:tc>
        <w:tc>
          <w:tcPr>
            <w:tcW w:w="2634" w:type="dxa"/>
            <w:gridSpan w:val="2"/>
            <w:vAlign w:val="top"/>
          </w:tcPr>
          <w:p>
            <w:pPr>
              <w:pStyle w:val="6"/>
              <w:spacing w:before="27" w:line="224" w:lineRule="auto"/>
              <w:ind w:left="113" w:right="105"/>
            </w:pPr>
            <w:r>
              <w:rPr>
                <w:spacing w:val="9"/>
              </w:rPr>
              <w:t>准确度（与理论浓度的偏</w:t>
            </w:r>
            <w:r>
              <w:t xml:space="preserve"> </w:t>
            </w:r>
            <w:r>
              <w:rPr>
                <w:spacing w:val="-6"/>
              </w:rPr>
              <w:t>差</w:t>
            </w:r>
            <w:r>
              <w:rPr>
                <w:spacing w:val="-39"/>
              </w:rPr>
              <w:t>）（</w:t>
            </w:r>
            <w:r>
              <w:rPr>
                <w:rFonts w:ascii="Times New Roman" w:hAnsi="Times New Roman" w:eastAsia="Times New Roman" w:cs="Times New Roman"/>
                <w:spacing w:val="-6"/>
              </w:rPr>
              <w:t>%</w:t>
            </w:r>
            <w:r>
              <w:rPr>
                <w:spacing w:val="-6"/>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3398" w:type="dxa"/>
            <w:vAlign w:val="top"/>
          </w:tcPr>
          <w:p>
            <w:pPr>
              <w:pStyle w:val="6"/>
              <w:spacing w:before="27" w:line="226" w:lineRule="auto"/>
              <w:ind w:left="122" w:right="99" w:hanging="5"/>
            </w:pPr>
            <w:r>
              <w:rPr>
                <w:spacing w:val="-4"/>
              </w:rPr>
              <w:t>批内精密度和准确度（除</w:t>
            </w:r>
            <w:r>
              <w:rPr>
                <w:spacing w:val="-33"/>
              </w:rPr>
              <w:t xml:space="preserve"> </w:t>
            </w:r>
            <w:r>
              <w:rPr>
                <w:rFonts w:ascii="Times New Roman" w:hAnsi="Times New Roman" w:eastAsia="Times New Roman" w:cs="Times New Roman"/>
                <w:spacing w:val="-4"/>
              </w:rPr>
              <w:t>LLOQ</w:t>
            </w:r>
            <w:r>
              <w:rPr>
                <w:rFonts w:ascii="Times New Roman" w:hAnsi="Times New Roman" w:eastAsia="Times New Roman" w:cs="Times New Roman"/>
                <w:spacing w:val="34"/>
                <w:w w:val="101"/>
              </w:rPr>
              <w:t xml:space="preserve"> </w:t>
            </w:r>
            <w:r>
              <w:rPr>
                <w:spacing w:val="-4"/>
              </w:rPr>
              <w:t>以</w:t>
            </w:r>
            <w:r>
              <w:t xml:space="preserve"> </w:t>
            </w:r>
            <w:r>
              <w:rPr>
                <w:spacing w:val="-2"/>
              </w:rPr>
              <w:t>外的所有浓度质控）</w:t>
            </w:r>
          </w:p>
        </w:tc>
        <w:tc>
          <w:tcPr>
            <w:tcW w:w="2270" w:type="dxa"/>
            <w:gridSpan w:val="2"/>
            <w:vAlign w:val="top"/>
          </w:tcPr>
          <w:p>
            <w:pPr>
              <w:rPr>
                <w:rFonts w:ascii="Arial"/>
                <w:sz w:val="21"/>
              </w:rPr>
            </w:pPr>
          </w:p>
        </w:tc>
        <w:tc>
          <w:tcPr>
            <w:tcW w:w="26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7" w:line="217" w:lineRule="auto"/>
              <w:ind w:left="117"/>
            </w:pPr>
            <w:r>
              <w:rPr>
                <w:spacing w:val="-1"/>
              </w:rPr>
              <w:t>批内精密度和准确度（</w:t>
            </w:r>
            <w:r>
              <w:rPr>
                <w:rFonts w:ascii="Times New Roman" w:hAnsi="Times New Roman" w:eastAsia="Times New Roman" w:cs="Times New Roman"/>
                <w:spacing w:val="-1"/>
              </w:rPr>
              <w:t>LLOQ</w:t>
            </w:r>
            <w:r>
              <w:rPr>
                <w:spacing w:val="-1"/>
              </w:rPr>
              <w:t>）</w:t>
            </w:r>
          </w:p>
        </w:tc>
        <w:tc>
          <w:tcPr>
            <w:tcW w:w="2270" w:type="dxa"/>
            <w:gridSpan w:val="2"/>
            <w:vAlign w:val="top"/>
          </w:tcPr>
          <w:p>
            <w:pPr>
              <w:rPr>
                <w:rFonts w:ascii="Arial"/>
                <w:sz w:val="21"/>
              </w:rPr>
            </w:pPr>
          </w:p>
        </w:tc>
        <w:tc>
          <w:tcPr>
            <w:tcW w:w="26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3398" w:type="dxa"/>
            <w:vAlign w:val="top"/>
          </w:tcPr>
          <w:p>
            <w:pPr>
              <w:pStyle w:val="6"/>
              <w:spacing w:before="27" w:line="224" w:lineRule="auto"/>
              <w:ind w:left="122" w:right="99" w:hanging="5"/>
            </w:pPr>
            <w:r>
              <w:rPr>
                <w:spacing w:val="-4"/>
              </w:rPr>
              <w:t>批间精密度和准确度（除</w:t>
            </w:r>
            <w:r>
              <w:rPr>
                <w:spacing w:val="-33"/>
              </w:rPr>
              <w:t xml:space="preserve"> </w:t>
            </w:r>
            <w:r>
              <w:rPr>
                <w:rFonts w:ascii="Times New Roman" w:hAnsi="Times New Roman" w:eastAsia="Times New Roman" w:cs="Times New Roman"/>
                <w:spacing w:val="-4"/>
              </w:rPr>
              <w:t>LLOQ</w:t>
            </w:r>
            <w:r>
              <w:rPr>
                <w:rFonts w:ascii="Times New Roman" w:hAnsi="Times New Roman" w:eastAsia="Times New Roman" w:cs="Times New Roman"/>
                <w:spacing w:val="34"/>
                <w:w w:val="101"/>
              </w:rPr>
              <w:t xml:space="preserve"> </w:t>
            </w:r>
            <w:r>
              <w:rPr>
                <w:spacing w:val="-4"/>
              </w:rPr>
              <w:t>以</w:t>
            </w:r>
            <w:r>
              <w:t xml:space="preserve"> </w:t>
            </w:r>
            <w:r>
              <w:rPr>
                <w:spacing w:val="-2"/>
              </w:rPr>
              <w:t>外的所有浓度质控）</w:t>
            </w:r>
          </w:p>
        </w:tc>
        <w:tc>
          <w:tcPr>
            <w:tcW w:w="2270" w:type="dxa"/>
            <w:gridSpan w:val="2"/>
            <w:vAlign w:val="top"/>
          </w:tcPr>
          <w:p>
            <w:pPr>
              <w:rPr>
                <w:rFonts w:ascii="Arial"/>
                <w:sz w:val="21"/>
              </w:rPr>
            </w:pPr>
          </w:p>
        </w:tc>
        <w:tc>
          <w:tcPr>
            <w:tcW w:w="26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19" w:line="217" w:lineRule="auto"/>
              <w:ind w:left="117"/>
            </w:pPr>
            <w:r>
              <w:rPr>
                <w:spacing w:val="-1"/>
              </w:rPr>
              <w:t>批间精密度和准确度（</w:t>
            </w:r>
            <w:r>
              <w:rPr>
                <w:rFonts w:ascii="Times New Roman" w:hAnsi="Times New Roman" w:eastAsia="Times New Roman" w:cs="Times New Roman"/>
                <w:spacing w:val="-1"/>
              </w:rPr>
              <w:t>LLOQ</w:t>
            </w:r>
            <w:r>
              <w:rPr>
                <w:spacing w:val="-1"/>
              </w:rPr>
              <w:t>）</w:t>
            </w:r>
          </w:p>
        </w:tc>
        <w:tc>
          <w:tcPr>
            <w:tcW w:w="2270" w:type="dxa"/>
            <w:gridSpan w:val="2"/>
            <w:vAlign w:val="top"/>
          </w:tcPr>
          <w:p>
            <w:pPr>
              <w:rPr>
                <w:rFonts w:ascii="Arial"/>
                <w:sz w:val="21"/>
              </w:rPr>
            </w:pPr>
          </w:p>
        </w:tc>
        <w:tc>
          <w:tcPr>
            <w:tcW w:w="26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398" w:type="dxa"/>
            <w:vMerge w:val="restart"/>
            <w:tcBorders>
              <w:bottom w:val="nil"/>
            </w:tcBorders>
            <w:vAlign w:val="top"/>
          </w:tcPr>
          <w:p>
            <w:pPr>
              <w:spacing w:line="280" w:lineRule="auto"/>
              <w:rPr>
                <w:rFonts w:ascii="Arial"/>
                <w:sz w:val="21"/>
              </w:rPr>
            </w:pPr>
          </w:p>
          <w:p>
            <w:pPr>
              <w:pStyle w:val="6"/>
              <w:spacing w:before="68" w:line="216" w:lineRule="auto"/>
              <w:ind w:left="119"/>
              <w:rPr>
                <w:rFonts w:ascii="Times New Roman" w:hAnsi="Times New Roman" w:eastAsia="Times New Roman" w:cs="Times New Roman"/>
              </w:rPr>
            </w:pPr>
            <w:r>
              <w:rPr>
                <w14:textOutline w14:w="3831" w14:cap="flat" w14:cmpd="sng">
                  <w14:solidFill>
                    <w14:srgbClr w14:val="000000"/>
                  </w14:solidFill>
                  <w14:prstDash w14:val="solid"/>
                  <w14:miter w14:val="10"/>
                </w14:textOutline>
              </w:rPr>
              <w:t>提取回收率</w:t>
            </w:r>
            <w:r>
              <w:rPr>
                <w:rFonts w:ascii="Times New Roman" w:hAnsi="Times New Roman" w:eastAsia="Times New Roman" w:cs="Times New Roman"/>
                <w:b/>
                <w:bCs/>
              </w:rPr>
              <w:t>(</w:t>
            </w:r>
            <w:r>
              <w:rPr>
                <w14:textOutline w14:w="3831" w14:cap="flat" w14:cmpd="sng">
                  <w14:solidFill>
                    <w14:srgbClr w14:val="000000"/>
                  </w14:solidFill>
                  <w14:prstDash w14:val="solid"/>
                  <w14:miter w14:val="10"/>
                </w14:textOutline>
              </w:rPr>
              <w:t>健康人血浆</w:t>
            </w:r>
            <w:r>
              <w:rPr>
                <w:rFonts w:ascii="Times New Roman" w:hAnsi="Times New Roman" w:eastAsia="Times New Roman" w:cs="Times New Roman"/>
                <w:b/>
                <w:bCs/>
              </w:rPr>
              <w:t>)</w:t>
            </w:r>
          </w:p>
        </w:tc>
        <w:tc>
          <w:tcPr>
            <w:tcW w:w="4904" w:type="dxa"/>
            <w:gridSpan w:val="4"/>
            <w:vAlign w:val="top"/>
          </w:tcPr>
          <w:p>
            <w:pPr>
              <w:pStyle w:val="6"/>
              <w:spacing w:before="119" w:line="220" w:lineRule="auto"/>
              <w:ind w:left="115"/>
            </w:pPr>
            <w:r>
              <w:rPr>
                <w14:textOutline w14:w="3831" w14:cap="flat" w14:cmpd="sng">
                  <w14:solidFill>
                    <w14:srgbClr w14:val="000000"/>
                  </w14:solidFill>
                  <w14:prstDash w14:val="solid"/>
                  <w14:miter w14:val="10"/>
                </w14:textOutline>
              </w:rPr>
              <w:t>精密度（</w:t>
            </w:r>
            <w:r>
              <w:rPr>
                <w:rFonts w:ascii="Times New Roman" w:hAnsi="Times New Roman" w:eastAsia="Times New Roman" w:cs="Times New Roman"/>
                <w:b/>
                <w:bCs/>
              </w:rPr>
              <w:t>%CV</w:t>
            </w:r>
            <w:r>
              <w:rPr>
                <w14:textOutline w14:w="3831" w14:cap="flat" w14:cmpd="sng">
                  <w14:solidFill>
                    <w14:srgbClr w14:val="000000"/>
                  </w14:solidFill>
                  <w14:prstDash w14:val="solid"/>
                  <w14:miter w14:val="1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Merge w:val="continue"/>
            <w:tcBorders>
              <w:top w:val="nil"/>
            </w:tcBorders>
            <w:vAlign w:val="top"/>
          </w:tcPr>
          <w:p>
            <w:pPr>
              <w:rPr>
                <w:rFonts w:ascii="Arial"/>
                <w:sz w:val="21"/>
              </w:rPr>
            </w:pPr>
          </w:p>
        </w:tc>
        <w:tc>
          <w:tcPr>
            <w:tcW w:w="1790" w:type="dxa"/>
            <w:vAlign w:val="top"/>
          </w:tcPr>
          <w:p>
            <w:pPr>
              <w:pStyle w:val="6"/>
              <w:spacing w:before="119" w:line="221" w:lineRule="auto"/>
              <w:ind w:left="121"/>
            </w:pPr>
            <w:r>
              <w:rPr>
                <w:spacing w:val="-3"/>
                <w14:textOutline w14:w="3831" w14:cap="flat" w14:cmpd="sng">
                  <w14:solidFill>
                    <w14:srgbClr w14:val="000000"/>
                  </w14:solidFill>
                  <w14:prstDash w14:val="solid"/>
                  <w14:miter w14:val="10"/>
                </w14:textOutline>
              </w:rPr>
              <w:t>高浓度</w:t>
            </w:r>
          </w:p>
        </w:tc>
        <w:tc>
          <w:tcPr>
            <w:tcW w:w="2073" w:type="dxa"/>
            <w:gridSpan w:val="2"/>
            <w:vAlign w:val="top"/>
          </w:tcPr>
          <w:p>
            <w:pPr>
              <w:pStyle w:val="6"/>
              <w:spacing w:before="120" w:line="221" w:lineRule="auto"/>
              <w:ind w:left="136"/>
            </w:pPr>
            <w:r>
              <w:rPr>
                <w:spacing w:val="-6"/>
                <w14:textOutline w14:w="3831" w14:cap="flat" w14:cmpd="sng">
                  <w14:solidFill>
                    <w14:srgbClr w14:val="000000"/>
                  </w14:solidFill>
                  <w14:prstDash w14:val="solid"/>
                  <w14:miter w14:val="10"/>
                </w14:textOutline>
              </w:rPr>
              <w:t>中浓度</w:t>
            </w:r>
          </w:p>
        </w:tc>
        <w:tc>
          <w:tcPr>
            <w:tcW w:w="1041" w:type="dxa"/>
            <w:vAlign w:val="top"/>
          </w:tcPr>
          <w:p>
            <w:pPr>
              <w:pStyle w:val="6"/>
              <w:spacing w:before="120" w:line="221" w:lineRule="auto"/>
              <w:ind w:left="117"/>
            </w:pPr>
            <w:r>
              <w:rPr>
                <w:spacing w:val="-1"/>
                <w14:textOutline w14:w="3831" w14:cap="flat" w14:cmpd="sng">
                  <w14:solidFill>
                    <w14:srgbClr w14:val="000000"/>
                  </w14:solidFill>
                  <w14:prstDash w14:val="solid"/>
                  <w14:miter w14:val="10"/>
                </w14:textOutline>
              </w:rPr>
              <w:t>低浓度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19" w:line="234" w:lineRule="auto"/>
              <w:ind w:left="120"/>
              <w:rPr>
                <w:rFonts w:ascii="Times New Roman" w:hAnsi="Times New Roman" w:eastAsia="Times New Roman" w:cs="Times New Roman"/>
              </w:rPr>
            </w:pPr>
            <w:r>
              <w:rPr>
                <w:spacing w:val="-1"/>
              </w:rPr>
              <w:t>待测物提取回收率均值</w:t>
            </w:r>
            <w:r>
              <w:rPr>
                <w:rFonts w:ascii="Times New Roman" w:hAnsi="Times New Roman" w:eastAsia="Times New Roman" w:cs="Times New Roman"/>
                <w:spacing w:val="-1"/>
              </w:rPr>
              <w:t>%</w:t>
            </w:r>
          </w:p>
        </w:tc>
        <w:tc>
          <w:tcPr>
            <w:tcW w:w="1790" w:type="dxa"/>
            <w:vAlign w:val="top"/>
          </w:tcPr>
          <w:p>
            <w:pPr>
              <w:rPr>
                <w:rFonts w:ascii="Arial"/>
                <w:sz w:val="21"/>
              </w:rPr>
            </w:pPr>
          </w:p>
        </w:tc>
        <w:tc>
          <w:tcPr>
            <w:tcW w:w="2073" w:type="dxa"/>
            <w:gridSpan w:val="2"/>
            <w:vAlign w:val="top"/>
          </w:tcPr>
          <w:p>
            <w:pPr>
              <w:rPr>
                <w:rFonts w:ascii="Arial"/>
                <w:sz w:val="21"/>
              </w:rPr>
            </w:pPr>
          </w:p>
        </w:tc>
        <w:tc>
          <w:tcPr>
            <w:tcW w:w="10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3398" w:type="dxa"/>
            <w:vAlign w:val="top"/>
          </w:tcPr>
          <w:p>
            <w:pPr>
              <w:pStyle w:val="6"/>
              <w:spacing w:before="27" w:line="224" w:lineRule="auto"/>
              <w:ind w:left="120" w:right="111"/>
              <w:rPr>
                <w:rFonts w:ascii="Times New Roman" w:hAnsi="Times New Roman" w:eastAsia="Times New Roman" w:cs="Times New Roman"/>
              </w:rPr>
            </w:pPr>
            <w:r>
              <w:rPr>
                <w:spacing w:val="24"/>
                <w:w w:val="114"/>
              </w:rPr>
              <w:t>待测物提取回收率的变异系</w:t>
            </w:r>
            <w:r>
              <w:t xml:space="preserve"> </w:t>
            </w:r>
            <w:r>
              <w:rPr>
                <w:spacing w:val="-2"/>
              </w:rPr>
              <w:t>数</w:t>
            </w:r>
            <w:r>
              <w:rPr>
                <w:rFonts w:ascii="Times New Roman" w:hAnsi="Times New Roman" w:eastAsia="Times New Roman" w:cs="Times New Roman"/>
                <w:spacing w:val="-2"/>
              </w:rPr>
              <w:t>%CV</w:t>
            </w:r>
          </w:p>
        </w:tc>
        <w:tc>
          <w:tcPr>
            <w:tcW w:w="1790" w:type="dxa"/>
            <w:vAlign w:val="top"/>
          </w:tcPr>
          <w:p>
            <w:pPr>
              <w:rPr>
                <w:rFonts w:ascii="Arial"/>
                <w:sz w:val="21"/>
              </w:rPr>
            </w:pPr>
          </w:p>
        </w:tc>
        <w:tc>
          <w:tcPr>
            <w:tcW w:w="2073" w:type="dxa"/>
            <w:gridSpan w:val="2"/>
            <w:vAlign w:val="top"/>
          </w:tcPr>
          <w:p>
            <w:pPr>
              <w:rPr>
                <w:rFonts w:ascii="Arial"/>
                <w:sz w:val="21"/>
              </w:rPr>
            </w:pPr>
          </w:p>
        </w:tc>
        <w:tc>
          <w:tcPr>
            <w:tcW w:w="10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19" w:line="234" w:lineRule="auto"/>
              <w:ind w:left="143"/>
              <w:rPr>
                <w:rFonts w:ascii="Times New Roman" w:hAnsi="Times New Roman" w:eastAsia="Times New Roman" w:cs="Times New Roman"/>
              </w:rPr>
            </w:pPr>
            <w:r>
              <w:rPr>
                <w:spacing w:val="-3"/>
              </w:rPr>
              <w:t>内标提取回收率均值</w:t>
            </w:r>
            <w:r>
              <w:rPr>
                <w:rFonts w:ascii="Times New Roman" w:hAnsi="Times New Roman" w:eastAsia="Times New Roman" w:cs="Times New Roman"/>
                <w:spacing w:val="-3"/>
              </w:rPr>
              <w:t>%</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18" w:line="221" w:lineRule="auto"/>
              <w:ind w:left="143"/>
              <w:rPr>
                <w:rFonts w:ascii="Times New Roman" w:hAnsi="Times New Roman" w:eastAsia="Times New Roman" w:cs="Times New Roman"/>
              </w:rPr>
            </w:pPr>
            <w:r>
              <w:rPr>
                <w:spacing w:val="-2"/>
              </w:rPr>
              <w:t>内标提取回收率的变异系数</w:t>
            </w:r>
            <w:r>
              <w:rPr>
                <w:rFonts w:ascii="Times New Roman" w:hAnsi="Times New Roman" w:eastAsia="Times New Roman" w:cs="Times New Roman"/>
                <w:spacing w:val="-2"/>
              </w:rPr>
              <w:t>%CV</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3398" w:type="dxa"/>
            <w:vAlign w:val="top"/>
          </w:tcPr>
          <w:p>
            <w:pPr>
              <w:spacing w:line="445" w:lineRule="auto"/>
              <w:rPr>
                <w:rFonts w:ascii="Arial"/>
                <w:sz w:val="21"/>
              </w:rPr>
            </w:pPr>
          </w:p>
          <w:p>
            <w:pPr>
              <w:pStyle w:val="6"/>
              <w:spacing w:before="68" w:line="221" w:lineRule="auto"/>
              <w:ind w:left="120"/>
            </w:pPr>
            <w:r>
              <w:rPr>
                <w:spacing w:val="-1"/>
              </w:rPr>
              <w:t>待测物的</w:t>
            </w:r>
            <w:r>
              <w:rPr>
                <w:spacing w:val="-1"/>
                <w14:textOutline w14:w="3831" w14:cap="flat" w14:cmpd="sng">
                  <w14:solidFill>
                    <w14:srgbClr w14:val="000000"/>
                  </w14:solidFill>
                  <w14:prstDash w14:val="solid"/>
                  <w14:miter w14:val="10"/>
                </w14:textOutline>
              </w:rPr>
              <w:t>基质效应</w:t>
            </w:r>
          </w:p>
        </w:tc>
        <w:tc>
          <w:tcPr>
            <w:tcW w:w="4904" w:type="dxa"/>
            <w:gridSpan w:val="4"/>
            <w:vAlign w:val="top"/>
          </w:tcPr>
          <w:p>
            <w:pPr>
              <w:pStyle w:val="6"/>
              <w:spacing w:before="52" w:line="247" w:lineRule="auto"/>
              <w:ind w:left="118" w:right="601" w:firstLine="1"/>
            </w:pPr>
            <w:r>
              <w:rPr>
                <w:spacing w:val="-13"/>
              </w:rPr>
              <w:t>正常基质考察结果</w:t>
            </w:r>
            <w:r>
              <w:rPr>
                <w:spacing w:val="6"/>
              </w:rPr>
              <w:t>：</w:t>
            </w:r>
            <w:r>
              <w:rPr>
                <w:spacing w:val="93"/>
              </w:rPr>
              <w:t xml:space="preserve"> </w:t>
            </w:r>
            <w:r>
              <w:rPr>
                <w:spacing w:val="6"/>
              </w:rPr>
              <w:t>（</w:t>
            </w:r>
            <w:r>
              <w:rPr>
                <w:spacing w:val="-13"/>
              </w:rPr>
              <w:t>各浓度水平分别列出）</w:t>
            </w:r>
            <w:r>
              <w:t xml:space="preserve"> </w:t>
            </w:r>
            <w:r>
              <w:rPr>
                <w:spacing w:val="-5"/>
              </w:rPr>
              <w:t>溶血基质考察结果：</w:t>
            </w:r>
          </w:p>
          <w:p>
            <w:pPr>
              <w:pStyle w:val="6"/>
              <w:spacing w:before="61" w:line="312" w:lineRule="exact"/>
              <w:ind w:left="121"/>
            </w:pPr>
            <w:r>
              <w:rPr>
                <w:spacing w:val="-5"/>
                <w:position w:val="7"/>
              </w:rPr>
              <w:t>高脂基质考察结果：</w:t>
            </w:r>
          </w:p>
          <w:p>
            <w:pPr>
              <w:pStyle w:val="6"/>
              <w:spacing w:line="221" w:lineRule="auto"/>
              <w:ind w:left="115"/>
            </w:pPr>
            <w:r>
              <w:rPr>
                <w:spacing w:val="-5"/>
              </w:rPr>
              <w:t>所有基质总体结果：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398" w:type="dxa"/>
            <w:vAlign w:val="top"/>
          </w:tcPr>
          <w:p>
            <w:pPr>
              <w:pStyle w:val="6"/>
              <w:spacing w:before="123" w:line="221" w:lineRule="auto"/>
              <w:ind w:left="143"/>
            </w:pPr>
            <w:r>
              <w:rPr>
                <w:spacing w:val="-5"/>
              </w:rPr>
              <w:t>内标的基质效应</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2" w:line="221" w:lineRule="auto"/>
              <w:ind w:left="117"/>
            </w:pPr>
            <w:r>
              <w:rPr>
                <w:spacing w:val="-1"/>
                <w14:textOutline w14:w="3831" w14:cap="flat" w14:cmpd="sng">
                  <w14:solidFill>
                    <w14:srgbClr w14:val="000000"/>
                  </w14:solidFill>
                  <w14:prstDash w14:val="solid"/>
                  <w14:miter w14:val="10"/>
                </w14:textOutline>
              </w:rPr>
              <w:t>稀释可靠性</w:t>
            </w:r>
          </w:p>
        </w:tc>
        <w:tc>
          <w:tcPr>
            <w:tcW w:w="4904" w:type="dxa"/>
            <w:gridSpan w:val="4"/>
            <w:vAlign w:val="top"/>
          </w:tcPr>
          <w:p>
            <w:pPr>
              <w:pStyle w:val="6"/>
              <w:spacing w:before="123" w:line="234" w:lineRule="auto"/>
              <w:ind w:left="114"/>
            </w:pPr>
            <w:r>
              <w:rPr>
                <w:spacing w:val="-1"/>
              </w:rPr>
              <w:t>样品浓度</w:t>
            </w:r>
            <w:r>
              <w:rPr>
                <w:rFonts w:ascii="Times New Roman" w:hAnsi="Times New Roman" w:eastAsia="Times New Roman" w:cs="Times New Roman"/>
                <w:spacing w:val="-1"/>
              </w:rPr>
              <w:t>/</w:t>
            </w:r>
            <w:r>
              <w:rPr>
                <w:spacing w:val="-1"/>
              </w:rPr>
              <w:t>稀释倍数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3" w:line="221" w:lineRule="auto"/>
              <w:ind w:left="119"/>
            </w:pPr>
            <w:r>
              <w:rPr>
                <w:spacing w:val="-2"/>
                <w14:textOutline w14:w="3831" w14:cap="flat" w14:cmpd="sng">
                  <w14:solidFill>
                    <w14:srgbClr w14:val="000000"/>
                  </w14:solidFill>
                  <w14:prstDash w14:val="solid"/>
                  <w14:miter w14:val="10"/>
                </w14:textOutline>
              </w:rPr>
              <w:t>稳定性</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8" w:type="dxa"/>
            <w:vAlign w:val="top"/>
          </w:tcPr>
          <w:p>
            <w:pPr>
              <w:pStyle w:val="6"/>
              <w:spacing w:before="53" w:line="247" w:lineRule="auto"/>
              <w:ind w:left="118" w:right="105" w:firstLine="1"/>
            </w:pPr>
            <w:r>
              <w:rPr>
                <w:spacing w:val="5"/>
              </w:rPr>
              <w:t>待测物工作液短期稳定性（</w:t>
            </w:r>
            <w:r>
              <w:rPr>
                <w:rFonts w:ascii="Times New Roman" w:hAnsi="Times New Roman" w:eastAsia="Times New Roman" w:cs="Times New Roman"/>
              </w:rPr>
              <w:t>ULOQ</w:t>
            </w:r>
            <w:r>
              <w:rPr>
                <w:rFonts w:ascii="Times New Roman" w:hAnsi="Times New Roman" w:eastAsia="Times New Roman" w:cs="Times New Roman"/>
                <w:spacing w:val="2"/>
              </w:rPr>
              <w:t xml:space="preserve"> </w:t>
            </w:r>
            <w:r>
              <w:rPr>
                <w:spacing w:val="-3"/>
              </w:rPr>
              <w:t>浓度水平）</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98" w:type="dxa"/>
            <w:vAlign w:val="top"/>
          </w:tcPr>
          <w:p>
            <w:pPr>
              <w:pStyle w:val="6"/>
              <w:spacing w:before="53" w:line="247" w:lineRule="auto"/>
              <w:ind w:left="118" w:right="100" w:firstLine="1"/>
            </w:pPr>
            <w:r>
              <w:rPr>
                <w:spacing w:val="7"/>
              </w:rPr>
              <w:t>待测物工作液短期稳定性（</w:t>
            </w:r>
            <w:r>
              <w:rPr>
                <w:rFonts w:ascii="Times New Roman" w:hAnsi="Times New Roman" w:eastAsia="Times New Roman" w:cs="Times New Roman"/>
              </w:rPr>
              <w:t>LLOQ</w:t>
            </w:r>
            <w:r>
              <w:rPr>
                <w:rFonts w:ascii="Times New Roman" w:hAnsi="Times New Roman" w:eastAsia="Times New Roman" w:cs="Times New Roman"/>
                <w:spacing w:val="7"/>
              </w:rPr>
              <w:t xml:space="preserve"> </w:t>
            </w:r>
            <w:r>
              <w:rPr>
                <w:spacing w:val="-3"/>
              </w:rPr>
              <w:t>浓度水平）</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tcBorders>
              <w:bottom w:val="single" w:color="000000" w:sz="4" w:space="0"/>
            </w:tcBorders>
            <w:vAlign w:val="top"/>
          </w:tcPr>
          <w:p>
            <w:pPr>
              <w:pStyle w:val="6"/>
              <w:spacing w:before="124" w:line="221" w:lineRule="auto"/>
              <w:ind w:left="143"/>
            </w:pPr>
            <w:r>
              <w:rPr>
                <w:spacing w:val="-3"/>
              </w:rPr>
              <w:t>内标储备液短期稳定性</w:t>
            </w:r>
          </w:p>
        </w:tc>
        <w:tc>
          <w:tcPr>
            <w:tcW w:w="4904" w:type="dxa"/>
            <w:gridSpan w:val="4"/>
            <w:tcBorders>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398" w:type="dxa"/>
            <w:tcBorders>
              <w:top w:val="single" w:color="000000" w:sz="4" w:space="0"/>
            </w:tcBorders>
            <w:vAlign w:val="top"/>
          </w:tcPr>
          <w:p>
            <w:pPr>
              <w:pStyle w:val="6"/>
              <w:spacing w:before="115" w:line="221" w:lineRule="auto"/>
              <w:ind w:left="143"/>
            </w:pPr>
            <w:r>
              <w:rPr>
                <w:spacing w:val="-3"/>
              </w:rPr>
              <w:t>内标工作液短期稳定性</w:t>
            </w:r>
          </w:p>
        </w:tc>
        <w:tc>
          <w:tcPr>
            <w:tcW w:w="4904" w:type="dxa"/>
            <w:gridSpan w:val="4"/>
            <w:tcBorders>
              <w:top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4" w:line="221" w:lineRule="auto"/>
              <w:ind w:left="120"/>
            </w:pPr>
            <w:r>
              <w:rPr>
                <w:spacing w:val="-1"/>
              </w:rPr>
              <w:t>待测物储备液长期稳定性</w:t>
            </w:r>
          </w:p>
        </w:tc>
        <w:tc>
          <w:tcPr>
            <w:tcW w:w="490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98" w:type="dxa"/>
            <w:vAlign w:val="top"/>
          </w:tcPr>
          <w:p>
            <w:pPr>
              <w:pStyle w:val="6"/>
              <w:spacing w:before="54" w:line="247" w:lineRule="auto"/>
              <w:ind w:left="118" w:right="105" w:firstLine="1"/>
            </w:pPr>
            <w:r>
              <w:rPr>
                <w:spacing w:val="5"/>
              </w:rPr>
              <w:t>待测物工作液长期稳定性（</w:t>
            </w:r>
            <w:r>
              <w:rPr>
                <w:rFonts w:ascii="Times New Roman" w:hAnsi="Times New Roman" w:eastAsia="Times New Roman" w:cs="Times New Roman"/>
              </w:rPr>
              <w:t>ULOQ</w:t>
            </w:r>
            <w:r>
              <w:rPr>
                <w:rFonts w:ascii="Times New Roman" w:hAnsi="Times New Roman" w:eastAsia="Times New Roman" w:cs="Times New Roman"/>
                <w:spacing w:val="2"/>
              </w:rPr>
              <w:t xml:space="preserve"> </w:t>
            </w:r>
            <w:r>
              <w:rPr>
                <w:spacing w:val="-3"/>
              </w:rPr>
              <w:t>浓度水平）</w:t>
            </w:r>
          </w:p>
        </w:tc>
        <w:tc>
          <w:tcPr>
            <w:tcW w:w="4904" w:type="dxa"/>
            <w:gridSpan w:val="4"/>
            <w:vAlign w:val="top"/>
          </w:tcPr>
          <w:p>
            <w:pPr>
              <w:rPr>
                <w:rFonts w:ascii="Arial"/>
                <w:sz w:val="21"/>
              </w:rPr>
            </w:pPr>
          </w:p>
        </w:tc>
      </w:tr>
    </w:tbl>
    <w:p>
      <w:pPr>
        <w:rPr>
          <w:rFonts w:ascii="Arial"/>
          <w:sz w:val="21"/>
        </w:rPr>
      </w:pPr>
    </w:p>
    <w:p>
      <w:pPr>
        <w:rPr>
          <w:rFonts w:ascii="Arial" w:hAnsi="Arial" w:eastAsia="Arial" w:cs="Arial"/>
          <w:sz w:val="21"/>
          <w:szCs w:val="21"/>
        </w:rPr>
        <w:sectPr>
          <w:pgSz w:w="11905" w:h="16839"/>
          <w:pgMar w:top="1431" w:right="1785" w:bottom="0" w:left="1785" w:header="0" w:footer="0" w:gutter="0"/>
          <w:cols w:space="720" w:num="1"/>
        </w:sectPr>
      </w:pPr>
    </w:p>
    <w:p>
      <w:pPr>
        <w:spacing w:line="95" w:lineRule="auto"/>
        <w:rPr>
          <w:rFonts w:ascii="Arial"/>
          <w:sz w:val="2"/>
        </w:rPr>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8"/>
        <w:gridCol w:w="4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Align w:val="top"/>
          </w:tcPr>
          <w:p>
            <w:pPr>
              <w:pStyle w:val="6"/>
              <w:spacing w:before="122" w:line="221" w:lineRule="auto"/>
              <w:ind w:left="1485"/>
              <w:rPr>
                <w:sz w:val="22"/>
                <w:szCs w:val="22"/>
              </w:rPr>
            </w:pPr>
            <w:r>
              <w:rPr>
                <w:spacing w:val="-2"/>
                <w:sz w:val="22"/>
                <w:szCs w:val="22"/>
                <w14:textOutline w14:w="4005" w14:cap="flat" w14:cmpd="sng">
                  <w14:solidFill>
                    <w14:srgbClr w14:val="000000"/>
                  </w14:solidFill>
                  <w14:prstDash w14:val="solid"/>
                  <w14:miter w14:val="10"/>
                </w14:textOutline>
              </w:rPr>
              <w:t>项目</w:t>
            </w:r>
          </w:p>
        </w:tc>
        <w:tc>
          <w:tcPr>
            <w:tcW w:w="4904" w:type="dxa"/>
            <w:vAlign w:val="top"/>
          </w:tcPr>
          <w:p>
            <w:pPr>
              <w:pStyle w:val="6"/>
              <w:spacing w:before="122" w:line="220" w:lineRule="auto"/>
              <w:ind w:left="1801"/>
              <w:rPr>
                <w:sz w:val="22"/>
                <w:szCs w:val="22"/>
              </w:rPr>
            </w:pPr>
            <w:r>
              <w:rPr>
                <w:spacing w:val="-4"/>
                <w:sz w:val="22"/>
                <w:szCs w:val="22"/>
                <w14:textOutline w14:w="4005" w14:cap="flat" w14:cmpd="sng">
                  <w14:solidFill>
                    <w14:srgbClr w14:val="000000"/>
                  </w14:solidFill>
                  <w14:prstDash w14:val="solid"/>
                  <w14:miter w14:val="10"/>
                </w14:textOutline>
              </w:rPr>
              <w:t>结果（数据）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8" w:type="dxa"/>
            <w:vAlign w:val="top"/>
          </w:tcPr>
          <w:p>
            <w:pPr>
              <w:pStyle w:val="6"/>
              <w:spacing w:before="48" w:line="248" w:lineRule="auto"/>
              <w:ind w:left="118" w:right="100" w:firstLine="1"/>
            </w:pPr>
            <w:r>
              <w:rPr>
                <w:spacing w:val="7"/>
              </w:rPr>
              <w:t>待测物工作液长期稳定性（</w:t>
            </w:r>
            <w:r>
              <w:rPr>
                <w:rFonts w:ascii="Times New Roman" w:hAnsi="Times New Roman" w:eastAsia="Times New Roman" w:cs="Times New Roman"/>
              </w:rPr>
              <w:t>LLOQ</w:t>
            </w:r>
            <w:r>
              <w:rPr>
                <w:rFonts w:ascii="Times New Roman" w:hAnsi="Times New Roman" w:eastAsia="Times New Roman" w:cs="Times New Roman"/>
                <w:spacing w:val="7"/>
              </w:rPr>
              <w:t xml:space="preserve"> </w:t>
            </w:r>
            <w:r>
              <w:rPr>
                <w:spacing w:val="-3"/>
              </w:rPr>
              <w:t>浓度水平）</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Align w:val="top"/>
          </w:tcPr>
          <w:p>
            <w:pPr>
              <w:pStyle w:val="6"/>
              <w:spacing w:before="120" w:line="221" w:lineRule="auto"/>
              <w:ind w:left="143"/>
            </w:pPr>
            <w:r>
              <w:rPr>
                <w:spacing w:val="-3"/>
              </w:rPr>
              <w:t>内标储备液长期稳定性</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1" w:line="221" w:lineRule="auto"/>
              <w:ind w:left="143"/>
            </w:pPr>
            <w:r>
              <w:rPr>
                <w:spacing w:val="-3"/>
              </w:rPr>
              <w:t>内标工作液长期稳定性</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8" w:type="dxa"/>
            <w:vAlign w:val="top"/>
          </w:tcPr>
          <w:p>
            <w:pPr>
              <w:pStyle w:val="6"/>
              <w:spacing w:before="51" w:line="248" w:lineRule="auto"/>
              <w:ind w:left="117" w:right="110"/>
            </w:pPr>
            <w:r>
              <w:rPr>
                <w:spacing w:val="1"/>
              </w:rPr>
              <w:t>样品离心分离前基质中待测物稳定</w:t>
            </w:r>
            <w:r>
              <w:t xml:space="preserve"> 性</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2" w:line="221" w:lineRule="auto"/>
              <w:ind w:left="120"/>
            </w:pPr>
            <w:r>
              <w:rPr>
                <w:spacing w:val="-1"/>
              </w:rPr>
              <w:t>生物样品前处理过程中的稳定性</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Align w:val="top"/>
          </w:tcPr>
          <w:p>
            <w:pPr>
              <w:pStyle w:val="6"/>
              <w:spacing w:before="122" w:line="221" w:lineRule="auto"/>
              <w:ind w:left="119"/>
            </w:pPr>
            <w:r>
              <w:rPr>
                <w:spacing w:val="-1"/>
              </w:rPr>
              <w:t>制备后样品稳定性</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3" w:line="221" w:lineRule="auto"/>
              <w:ind w:left="118"/>
            </w:pPr>
            <w:r>
              <w:rPr>
                <w:spacing w:val="-1"/>
              </w:rPr>
              <w:t>冻融稳定性</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24" w:line="221" w:lineRule="auto"/>
              <w:ind w:left="120"/>
            </w:pPr>
            <w:r>
              <w:rPr>
                <w:spacing w:val="-1"/>
              </w:rPr>
              <w:t>生物基质中待测物的长期稳定性</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Align w:val="top"/>
          </w:tcPr>
          <w:p>
            <w:pPr>
              <w:pStyle w:val="6"/>
              <w:spacing w:before="124" w:line="222" w:lineRule="auto"/>
              <w:ind w:left="120"/>
            </w:pPr>
            <w:r>
              <w:rPr>
                <w:spacing w:val="-2"/>
                <w14:textOutline w14:w="3831" w14:cap="flat" w14:cmpd="sng">
                  <w14:solidFill>
                    <w14:srgbClr w14:val="000000"/>
                  </w14:solidFill>
                  <w14:prstDash w14:val="solid"/>
                  <w14:miter w14:val="10"/>
                </w14:textOutline>
              </w:rPr>
              <w:t>耐用性</w:t>
            </w:r>
          </w:p>
        </w:tc>
        <w:tc>
          <w:tcPr>
            <w:tcW w:w="4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Align w:val="top"/>
          </w:tcPr>
          <w:p>
            <w:pPr>
              <w:spacing w:before="286" w:line="66" w:lineRule="exact"/>
              <w:ind w:left="133"/>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w:t>
            </w:r>
          </w:p>
        </w:tc>
        <w:tc>
          <w:tcPr>
            <w:tcW w:w="4904" w:type="dxa"/>
            <w:vAlign w:val="top"/>
          </w:tcPr>
          <w:p>
            <w:pPr>
              <w:rPr>
                <w:rFonts w:ascii="Arial"/>
                <w:sz w:val="21"/>
              </w:rPr>
            </w:pPr>
          </w:p>
        </w:tc>
      </w:tr>
    </w:tbl>
    <w:p>
      <w:pPr>
        <w:pStyle w:val="2"/>
        <w:spacing w:before="114" w:line="220" w:lineRule="auto"/>
        <w:ind w:left="22"/>
        <w:outlineLvl w:val="0"/>
      </w:pPr>
      <w:r>
        <w:rPr>
          <w:rFonts w:ascii="Times New Roman" w:hAnsi="Times New Roman" w:eastAsia="Times New Roman" w:cs="Times New Roman"/>
          <w:b/>
          <w:bCs/>
          <w:spacing w:val="-1"/>
        </w:rPr>
        <w:t>9.</w:t>
      </w:r>
      <w:r>
        <w:rPr>
          <w:spacing w:val="-1"/>
          <w14:textOutline w14:w="4354" w14:cap="flat" w14:cmpd="sng">
            <w14:solidFill>
              <w14:srgbClr w14:val="000000"/>
            </w14:solidFill>
            <w14:prstDash w14:val="solid"/>
            <w14:miter w14:val="10"/>
          </w14:textOutline>
        </w:rPr>
        <w:t>待测样品分析</w:t>
      </w:r>
    </w:p>
    <w:p>
      <w:pPr>
        <w:pStyle w:val="2"/>
        <w:spacing w:before="185" w:line="360" w:lineRule="auto"/>
        <w:ind w:left="24" w:right="10" w:firstLine="482"/>
        <w:jc w:val="both"/>
        <w:rPr>
          <w:rFonts w:ascii="Times New Roman" w:hAnsi="Times New Roman" w:eastAsia="Times New Roman" w:cs="Times New Roman"/>
        </w:rPr>
      </w:pPr>
      <w:r>
        <w:rPr>
          <w:spacing w:val="-7"/>
        </w:rPr>
        <w:t>总结简述以下信息： ①待测样品分析的起止时间、汇总分析批数量及接受情</w:t>
      </w:r>
      <w:r>
        <w:rPr>
          <w:spacing w:val="9"/>
        </w:rPr>
        <w:t xml:space="preserve"> </w:t>
      </w:r>
      <w:r>
        <w:rPr>
          <w:spacing w:val="-3"/>
        </w:rPr>
        <w:t>况（对于未接受数据阐述具体情况）、分析样品数量、质控样品</w:t>
      </w:r>
      <w:r>
        <w:rPr>
          <w:spacing w:val="-4"/>
        </w:rPr>
        <w:t>数量及比例相关</w:t>
      </w:r>
      <w:r>
        <w:t xml:space="preserve"> </w:t>
      </w:r>
      <w:r>
        <w:rPr>
          <w:spacing w:val="-9"/>
        </w:rPr>
        <w:t>信息等； ②复测样品的数量、复测原因、取值情况及依据；</w:t>
      </w:r>
      <w:r>
        <w:rPr>
          <w:spacing w:val="56"/>
        </w:rPr>
        <w:t xml:space="preserve"> </w:t>
      </w:r>
      <w:r>
        <w:rPr>
          <w:spacing w:val="-10"/>
        </w:rPr>
        <w:t>③</w:t>
      </w:r>
      <w:r>
        <w:rPr>
          <w:rFonts w:ascii="Times New Roman" w:hAnsi="Times New Roman" w:eastAsia="Times New Roman" w:cs="Times New Roman"/>
          <w:spacing w:val="-10"/>
        </w:rPr>
        <w:t xml:space="preserve">ISR </w:t>
      </w:r>
      <w:r>
        <w:rPr>
          <w:spacing w:val="-10"/>
        </w:rPr>
        <w:t>样品的数量及</w:t>
      </w:r>
      <w:r>
        <w:t xml:space="preserve"> </w:t>
      </w:r>
      <w:r>
        <w:rPr>
          <w:spacing w:val="-9"/>
        </w:rPr>
        <w:t>通过率（空腹和餐后分别列出</w:t>
      </w:r>
      <w:r>
        <w:rPr>
          <w:spacing w:val="-54"/>
          <w:w w:val="84"/>
        </w:rPr>
        <w:t>）；</w:t>
      </w:r>
      <w:r>
        <w:rPr>
          <w:spacing w:val="-9"/>
        </w:rPr>
        <w:t>④特殊情况说明；⑤进样序列表及图谱</w:t>
      </w:r>
      <w:r>
        <w:rPr>
          <w:spacing w:val="-10"/>
        </w:rPr>
        <w:t>是否</w:t>
      </w:r>
      <w:r>
        <w:rPr>
          <w:spacing w:val="-31"/>
        </w:rPr>
        <w:t xml:space="preserve"> </w:t>
      </w:r>
      <w:r>
        <w:rPr>
          <w:rFonts w:ascii="Times New Roman" w:hAnsi="Times New Roman" w:eastAsia="Times New Roman" w:cs="Times New Roman"/>
          <w:spacing w:val="-10"/>
        </w:rPr>
        <w:t>100%</w:t>
      </w:r>
    </w:p>
    <w:p>
      <w:pPr>
        <w:pStyle w:val="2"/>
        <w:spacing w:line="219" w:lineRule="auto"/>
        <w:ind w:left="25"/>
      </w:pPr>
      <w:r>
        <w:rPr>
          <w:spacing w:val="-14"/>
        </w:rPr>
        <w:t>提交（包括失败批次）。</w:t>
      </w:r>
    </w:p>
    <w:p>
      <w:pPr>
        <w:pStyle w:val="2"/>
        <w:spacing w:before="233" w:line="221" w:lineRule="auto"/>
        <w:ind w:left="2911"/>
        <w:rPr>
          <w:sz w:val="21"/>
          <w:szCs w:val="21"/>
        </w:rPr>
      </w:pPr>
      <w:r>
        <w:rPr>
          <w:spacing w:val="-1"/>
          <w:sz w:val="21"/>
          <w:szCs w:val="21"/>
          <w14:textOutline w14:w="3831" w14:cap="flat" w14:cmpd="sng">
            <w14:solidFill>
              <w14:srgbClr w14:val="000000"/>
            </w14:solidFill>
            <w14:prstDash w14:val="solid"/>
            <w14:miter w14:val="10"/>
          </w14:textOutline>
        </w:rPr>
        <w:t>生物样品分析结果（示例）</w:t>
      </w:r>
    </w:p>
    <w:p>
      <w:pPr>
        <w:spacing w:line="132"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8"/>
        <w:gridCol w:w="2692"/>
        <w:gridCol w:w="2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Align w:val="top"/>
          </w:tcPr>
          <w:p>
            <w:pPr>
              <w:pStyle w:val="6"/>
              <w:spacing w:before="126" w:line="221" w:lineRule="auto"/>
              <w:ind w:left="120"/>
            </w:pPr>
            <w:r>
              <w:rPr>
                <w:spacing w:val="-2"/>
              </w:rPr>
              <w:t>线性范围</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2" w:line="221" w:lineRule="auto"/>
              <w:ind w:left="123"/>
            </w:pPr>
            <w:r>
              <w:rPr>
                <w:spacing w:val="-2"/>
              </w:rPr>
              <w:t>定量方法</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Merge w:val="restart"/>
            <w:tcBorders>
              <w:bottom w:val="nil"/>
            </w:tcBorders>
            <w:vAlign w:val="top"/>
          </w:tcPr>
          <w:p>
            <w:pPr>
              <w:spacing w:line="256" w:lineRule="auto"/>
              <w:rPr>
                <w:rFonts w:ascii="Arial"/>
                <w:sz w:val="21"/>
              </w:rPr>
            </w:pPr>
          </w:p>
          <w:p>
            <w:pPr>
              <w:spacing w:line="256" w:lineRule="auto"/>
              <w:rPr>
                <w:rFonts w:ascii="Arial"/>
                <w:sz w:val="21"/>
              </w:rPr>
            </w:pPr>
          </w:p>
          <w:p>
            <w:pPr>
              <w:pStyle w:val="6"/>
              <w:spacing w:before="68" w:line="221" w:lineRule="auto"/>
              <w:ind w:left="119"/>
            </w:pPr>
            <w:r>
              <w:rPr>
                <w:spacing w:val="-1"/>
              </w:rPr>
              <w:t>质控浓度</w:t>
            </w:r>
          </w:p>
        </w:tc>
        <w:tc>
          <w:tcPr>
            <w:tcW w:w="2692" w:type="dxa"/>
            <w:vAlign w:val="top"/>
          </w:tcPr>
          <w:p>
            <w:pPr>
              <w:spacing w:before="152" w:line="195" w:lineRule="auto"/>
              <w:ind w:left="11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LQC</w:t>
            </w: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Merge w:val="continue"/>
            <w:tcBorders>
              <w:top w:val="nil"/>
              <w:bottom w:val="nil"/>
            </w:tcBorders>
            <w:vAlign w:val="top"/>
          </w:tcPr>
          <w:p>
            <w:pPr>
              <w:rPr>
                <w:rFonts w:ascii="Arial"/>
                <w:sz w:val="21"/>
              </w:rPr>
            </w:pPr>
          </w:p>
        </w:tc>
        <w:tc>
          <w:tcPr>
            <w:tcW w:w="2692" w:type="dxa"/>
            <w:vAlign w:val="top"/>
          </w:tcPr>
          <w:p>
            <w:pPr>
              <w:spacing w:before="158" w:line="195"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MQC</w:t>
            </w: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Merge w:val="continue"/>
            <w:tcBorders>
              <w:top w:val="nil"/>
            </w:tcBorders>
            <w:vAlign w:val="top"/>
          </w:tcPr>
          <w:p>
            <w:pPr>
              <w:rPr>
                <w:rFonts w:ascii="Arial"/>
                <w:sz w:val="21"/>
              </w:rPr>
            </w:pPr>
          </w:p>
        </w:tc>
        <w:tc>
          <w:tcPr>
            <w:tcW w:w="2692" w:type="dxa"/>
            <w:vAlign w:val="top"/>
          </w:tcPr>
          <w:p>
            <w:pPr>
              <w:spacing w:before="159" w:line="195" w:lineRule="auto"/>
              <w:ind w:left="110"/>
              <w:rPr>
                <w:rFonts w:ascii="Times New Roman" w:hAnsi="Times New Roman" w:eastAsia="Times New Roman" w:cs="Times New Roman"/>
                <w:sz w:val="21"/>
                <w:szCs w:val="21"/>
              </w:rPr>
            </w:pPr>
            <w:r>
              <w:rPr>
                <w:rFonts w:ascii="Times New Roman" w:hAnsi="Times New Roman" w:eastAsia="Times New Roman" w:cs="Times New Roman"/>
                <w:sz w:val="21"/>
                <w:szCs w:val="21"/>
              </w:rPr>
              <w:t>HQC</w:t>
            </w: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302" w:type="dxa"/>
            <w:gridSpan w:val="3"/>
            <w:vAlign w:val="top"/>
          </w:tcPr>
          <w:p>
            <w:pPr>
              <w:pStyle w:val="6"/>
              <w:spacing w:before="119" w:line="221" w:lineRule="auto"/>
              <w:ind w:left="120"/>
            </w:pPr>
            <w:r>
              <w:rPr>
                <w:spacing w:val="-1"/>
                <w14:textOutline w14:w="3831" w14:cap="flat" w14:cmpd="sng">
                  <w14:solidFill>
                    <w14:srgbClr w14:val="000000"/>
                  </w14:solidFill>
                  <w14:prstDash w14:val="solid"/>
                  <w14:miter w14:val="10"/>
                </w14:textOutline>
              </w:rPr>
              <w:t>分析方法效能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98" w:type="dxa"/>
            <w:shd w:val="clear" w:color="auto" w:fill="D9D9D9"/>
            <w:vAlign w:val="top"/>
          </w:tcPr>
          <w:p>
            <w:pPr>
              <w:pStyle w:val="6"/>
              <w:spacing w:before="210" w:line="221" w:lineRule="auto"/>
              <w:ind w:left="119"/>
            </w:pPr>
            <w:r>
              <w:rPr>
                <w:spacing w:val="-1"/>
              </w:rPr>
              <w:t>标准曲线及质控样品</w:t>
            </w:r>
          </w:p>
        </w:tc>
        <w:tc>
          <w:tcPr>
            <w:tcW w:w="2692" w:type="dxa"/>
            <w:shd w:val="clear" w:color="auto" w:fill="D9D9D9"/>
            <w:vAlign w:val="top"/>
          </w:tcPr>
          <w:p>
            <w:pPr>
              <w:pStyle w:val="6"/>
              <w:spacing w:before="210" w:line="220" w:lineRule="auto"/>
              <w:ind w:left="114"/>
            </w:pPr>
            <w:r>
              <w:rPr>
                <w:spacing w:val="-8"/>
              </w:rPr>
              <w:t>批间精密度（</w:t>
            </w:r>
            <w:r>
              <w:rPr>
                <w:rFonts w:ascii="Times New Roman" w:hAnsi="Times New Roman" w:eastAsia="Times New Roman" w:cs="Times New Roman"/>
                <w:spacing w:val="-8"/>
              </w:rPr>
              <w:t>%CV</w:t>
            </w:r>
            <w:r>
              <w:rPr>
                <w:spacing w:val="-8"/>
              </w:rPr>
              <w:t>）最大值</w:t>
            </w:r>
          </w:p>
        </w:tc>
        <w:tc>
          <w:tcPr>
            <w:tcW w:w="2212" w:type="dxa"/>
            <w:shd w:val="clear" w:color="auto" w:fill="D9D9D9"/>
            <w:vAlign w:val="top"/>
          </w:tcPr>
          <w:p>
            <w:pPr>
              <w:pStyle w:val="6"/>
              <w:spacing w:before="52" w:line="248" w:lineRule="auto"/>
              <w:ind w:left="130" w:right="117" w:hanging="12"/>
            </w:pPr>
            <w:r>
              <w:rPr>
                <w:spacing w:val="1"/>
              </w:rPr>
              <w:t>（准确度偏差</w:t>
            </w:r>
            <w:r>
              <w:rPr>
                <w:rFonts w:ascii="Times New Roman" w:hAnsi="Times New Roman" w:eastAsia="Times New Roman" w:cs="Times New Roman"/>
                <w:spacing w:val="1"/>
              </w:rPr>
              <w:t>%</w:t>
            </w:r>
            <w:r>
              <w:rPr>
                <w:spacing w:val="-52"/>
              </w:rPr>
              <w:t>）（</w:t>
            </w:r>
            <w:r>
              <w:rPr>
                <w:spacing w:val="1"/>
              </w:rPr>
              <w:t>范</w:t>
            </w:r>
            <w:r>
              <w:t xml:space="preserve"> </w:t>
            </w:r>
            <w:r>
              <w:rPr>
                <w:spacing w:val="-10"/>
              </w:rPr>
              <w:t>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25" w:line="217" w:lineRule="auto"/>
              <w:ind w:left="119"/>
            </w:pPr>
            <w:r>
              <w:rPr>
                <w:spacing w:val="-1"/>
              </w:rPr>
              <w:t>标准曲线最低定量限（</w:t>
            </w:r>
            <w:r>
              <w:rPr>
                <w:rFonts w:ascii="Times New Roman" w:hAnsi="Times New Roman" w:eastAsia="Times New Roman" w:cs="Times New Roman"/>
                <w:spacing w:val="-1"/>
              </w:rPr>
              <w:t>LLOQ</w:t>
            </w:r>
            <w:r>
              <w:rPr>
                <w:spacing w:val="-1"/>
              </w:rPr>
              <w:t>）</w:t>
            </w:r>
          </w:p>
        </w:tc>
        <w:tc>
          <w:tcPr>
            <w:tcW w:w="2692" w:type="dxa"/>
            <w:vAlign w:val="top"/>
          </w:tcPr>
          <w:p>
            <w:pPr>
              <w:rPr>
                <w:rFonts w:ascii="Arial"/>
                <w:sz w:val="21"/>
              </w:rPr>
            </w:pP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5" w:line="217" w:lineRule="auto"/>
              <w:ind w:left="119"/>
            </w:pPr>
            <w:r>
              <w:rPr>
                <w:spacing w:val="-2"/>
              </w:rPr>
              <w:t>标准曲线各浓度点（</w:t>
            </w:r>
            <w:r>
              <w:rPr>
                <w:rFonts w:ascii="Times New Roman" w:hAnsi="Times New Roman" w:eastAsia="Times New Roman" w:cs="Times New Roman"/>
                <w:spacing w:val="-2"/>
              </w:rPr>
              <w:t>LLOQ</w:t>
            </w:r>
            <w:r>
              <w:rPr>
                <w:rFonts w:ascii="Times New Roman" w:hAnsi="Times New Roman" w:eastAsia="Times New Roman" w:cs="Times New Roman"/>
                <w:spacing w:val="28"/>
                <w:w w:val="101"/>
              </w:rPr>
              <w:t xml:space="preserve"> </w:t>
            </w:r>
            <w:r>
              <w:rPr>
                <w:spacing w:val="-2"/>
              </w:rPr>
              <w:t>除外）</w:t>
            </w:r>
          </w:p>
        </w:tc>
        <w:tc>
          <w:tcPr>
            <w:tcW w:w="2692" w:type="dxa"/>
            <w:vAlign w:val="top"/>
          </w:tcPr>
          <w:p>
            <w:pPr>
              <w:rPr>
                <w:rFonts w:ascii="Arial"/>
                <w:sz w:val="21"/>
              </w:rPr>
            </w:pP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5" w:line="221" w:lineRule="auto"/>
              <w:ind w:left="119"/>
            </w:pPr>
            <w:r>
              <w:rPr>
                <w:spacing w:val="-1"/>
              </w:rPr>
              <w:t>质控样品</w:t>
            </w:r>
          </w:p>
        </w:tc>
        <w:tc>
          <w:tcPr>
            <w:tcW w:w="2692" w:type="dxa"/>
            <w:vAlign w:val="top"/>
          </w:tcPr>
          <w:p>
            <w:pPr>
              <w:rPr>
                <w:rFonts w:ascii="Arial"/>
                <w:sz w:val="21"/>
              </w:rPr>
            </w:pPr>
          </w:p>
        </w:tc>
        <w:tc>
          <w:tcPr>
            <w:tcW w:w="2212" w:type="dxa"/>
            <w:vAlign w:val="top"/>
          </w:tcPr>
          <w:p>
            <w:pPr>
              <w:rPr>
                <w:rFonts w:ascii="Arial"/>
                <w:sz w:val="21"/>
              </w:rPr>
            </w:pPr>
          </w:p>
        </w:tc>
      </w:tr>
    </w:tbl>
    <w:p>
      <w:pPr>
        <w:rPr>
          <w:rFonts w:ascii="Arial"/>
          <w:sz w:val="21"/>
        </w:rPr>
      </w:pPr>
    </w:p>
    <w:p>
      <w:pPr>
        <w:rPr>
          <w:rFonts w:ascii="Arial" w:hAnsi="Arial" w:eastAsia="Arial" w:cs="Arial"/>
          <w:sz w:val="21"/>
          <w:szCs w:val="21"/>
        </w:rPr>
        <w:sectPr>
          <w:pgSz w:w="11905" w:h="16839"/>
          <w:pgMar w:top="1431" w:right="1785" w:bottom="0" w:left="1785" w:header="0" w:footer="0" w:gutter="0"/>
          <w:cols w:space="720" w:num="1"/>
        </w:sectPr>
      </w:pPr>
    </w:p>
    <w:p>
      <w:pPr>
        <w:spacing w:line="95" w:lineRule="auto"/>
        <w:rPr>
          <w:rFonts w:ascii="Arial"/>
          <w:sz w:val="2"/>
        </w:rPr>
      </w:pPr>
    </w:p>
    <w:tbl>
      <w:tblPr>
        <w:tblStyle w:val="5"/>
        <w:tblW w:w="8302"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8"/>
        <w:gridCol w:w="2692"/>
        <w:gridCol w:w="2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Merge w:val="restart"/>
            <w:tcBorders>
              <w:bottom w:val="nil"/>
            </w:tcBorders>
            <w:vAlign w:val="top"/>
          </w:tcPr>
          <w:p>
            <w:pPr>
              <w:spacing w:line="285" w:lineRule="auto"/>
              <w:rPr>
                <w:rFonts w:ascii="Arial"/>
                <w:sz w:val="21"/>
              </w:rPr>
            </w:pPr>
          </w:p>
          <w:p>
            <w:pPr>
              <w:pStyle w:val="6"/>
              <w:spacing w:before="68" w:line="221" w:lineRule="auto"/>
              <w:ind w:left="120"/>
            </w:pPr>
            <w:r>
              <w:rPr>
                <w:spacing w:val="-1"/>
              </w:rPr>
              <w:t>分批次样品分析</w:t>
            </w:r>
          </w:p>
        </w:tc>
        <w:tc>
          <w:tcPr>
            <w:tcW w:w="2692" w:type="dxa"/>
            <w:vAlign w:val="top"/>
          </w:tcPr>
          <w:p>
            <w:pPr>
              <w:pStyle w:val="6"/>
              <w:spacing w:before="125" w:line="221" w:lineRule="auto"/>
              <w:ind w:left="117"/>
            </w:pPr>
            <w:r>
              <w:rPr>
                <w:spacing w:val="-1"/>
              </w:rPr>
              <w:t>符合标准的批次数量</w:t>
            </w:r>
          </w:p>
        </w:tc>
        <w:tc>
          <w:tcPr>
            <w:tcW w:w="2212" w:type="dxa"/>
            <w:vAlign w:val="top"/>
          </w:tcPr>
          <w:p>
            <w:pPr>
              <w:pStyle w:val="6"/>
              <w:spacing w:before="125" w:line="221" w:lineRule="auto"/>
              <w:ind w:left="115"/>
            </w:pPr>
            <w:r>
              <w:rPr>
                <w:spacing w:val="-1"/>
              </w:rPr>
              <w:t>不符合的批次数量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Merge w:val="continue"/>
            <w:tcBorders>
              <w:top w:val="nil"/>
            </w:tcBorders>
            <w:vAlign w:val="top"/>
          </w:tcPr>
          <w:p>
            <w:pPr>
              <w:rPr>
                <w:rFonts w:ascii="Arial"/>
                <w:sz w:val="21"/>
              </w:rPr>
            </w:pPr>
          </w:p>
        </w:tc>
        <w:tc>
          <w:tcPr>
            <w:tcW w:w="2692" w:type="dxa"/>
            <w:vAlign w:val="top"/>
          </w:tcPr>
          <w:p>
            <w:pPr>
              <w:rPr>
                <w:rFonts w:ascii="Arial"/>
                <w:sz w:val="21"/>
              </w:rPr>
            </w:pP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22" w:line="221" w:lineRule="auto"/>
              <w:ind w:left="120"/>
            </w:pPr>
            <w:r>
              <w:rPr>
                <w:spacing w:val="-1"/>
              </w:rPr>
              <w:t>分析开始日期</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8" w:type="dxa"/>
            <w:vAlign w:val="top"/>
          </w:tcPr>
          <w:p>
            <w:pPr>
              <w:pStyle w:val="6"/>
              <w:spacing w:before="121" w:line="221" w:lineRule="auto"/>
              <w:ind w:left="120"/>
            </w:pPr>
            <w:r>
              <w:rPr>
                <w:spacing w:val="-1"/>
              </w:rPr>
              <w:t>分析的受试者总数</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98" w:type="dxa"/>
            <w:vAlign w:val="top"/>
          </w:tcPr>
          <w:p>
            <w:pPr>
              <w:pStyle w:val="6"/>
              <w:spacing w:before="122" w:line="221" w:lineRule="auto"/>
              <w:ind w:left="120"/>
            </w:pPr>
            <w:r>
              <w:rPr>
                <w:spacing w:val="-1"/>
              </w:rPr>
              <w:t>分析的样品总数</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398" w:type="dxa"/>
            <w:vAlign w:val="top"/>
          </w:tcPr>
          <w:p>
            <w:pPr>
              <w:pStyle w:val="6"/>
              <w:spacing w:before="123" w:line="221" w:lineRule="auto"/>
              <w:ind w:left="120"/>
            </w:pPr>
            <w:r>
              <w:rPr>
                <w:spacing w:val="-1"/>
              </w:rPr>
              <w:t>分析结束日期</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98" w:type="dxa"/>
            <w:vAlign w:val="top"/>
          </w:tcPr>
          <w:p>
            <w:pPr>
              <w:pStyle w:val="6"/>
              <w:spacing w:before="52" w:line="247" w:lineRule="auto"/>
              <w:ind w:left="119" w:right="110" w:hanging="2"/>
            </w:pPr>
            <w:r>
              <w:rPr>
                <w:spacing w:val="1"/>
              </w:rPr>
              <w:t>样品储存时间（从样品采集日到分</w:t>
            </w:r>
            <w:r>
              <w:t xml:space="preserve"> </w:t>
            </w:r>
            <w:r>
              <w:rPr>
                <w:spacing w:val="-1"/>
              </w:rPr>
              <w:t>析结束日的时间跨度）</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98" w:type="dxa"/>
            <w:vAlign w:val="top"/>
          </w:tcPr>
          <w:p>
            <w:pPr>
              <w:pStyle w:val="6"/>
              <w:spacing w:before="53" w:line="247" w:lineRule="auto"/>
              <w:ind w:left="117" w:right="110"/>
            </w:pPr>
            <w:r>
              <w:t>基质中样品的长期稳定性及储存条</w:t>
            </w:r>
            <w:r>
              <w:rPr>
                <w:spacing w:val="13"/>
              </w:rPr>
              <w:t xml:space="preserve"> </w:t>
            </w:r>
            <w:r>
              <w:t>件</w:t>
            </w:r>
          </w:p>
        </w:tc>
        <w:tc>
          <w:tcPr>
            <w:tcW w:w="490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98" w:type="dxa"/>
            <w:vAlign w:val="top"/>
          </w:tcPr>
          <w:p>
            <w:pPr>
              <w:pStyle w:val="6"/>
              <w:spacing w:before="125" w:line="221" w:lineRule="auto"/>
              <w:ind w:left="120"/>
            </w:pPr>
            <w:r>
              <w:rPr>
                <w:spacing w:val="-1"/>
              </w:rPr>
              <w:t>主要储备液称量准确度的比较</w:t>
            </w:r>
          </w:p>
        </w:tc>
        <w:tc>
          <w:tcPr>
            <w:tcW w:w="4904" w:type="dxa"/>
            <w:gridSpan w:val="2"/>
            <w:vAlign w:val="top"/>
          </w:tcPr>
          <w:p>
            <w:pPr>
              <w:rPr>
                <w:rFonts w:ascii="Arial"/>
                <w:sz w:val="21"/>
              </w:rPr>
            </w:pPr>
          </w:p>
        </w:tc>
      </w:tr>
    </w:tbl>
    <w:p>
      <w:pPr>
        <w:pStyle w:val="2"/>
        <w:spacing w:before="183" w:line="221" w:lineRule="auto"/>
        <w:ind w:left="3374"/>
        <w:rPr>
          <w:sz w:val="21"/>
          <w:szCs w:val="21"/>
        </w:rPr>
      </w:pPr>
      <w:r>
        <w:rPr>
          <w:rFonts w:ascii="Times New Roman" w:hAnsi="Times New Roman" w:eastAsia="Times New Roman" w:cs="Times New Roman"/>
          <w:b/>
          <w:bCs/>
          <w:spacing w:val="-1"/>
          <w:sz w:val="21"/>
          <w:szCs w:val="21"/>
        </w:rPr>
        <w:t xml:space="preserve">ISR </w:t>
      </w:r>
      <w:r>
        <w:rPr>
          <w:spacing w:val="-1"/>
          <w:sz w:val="21"/>
          <w:szCs w:val="21"/>
          <w14:textOutline w14:w="3831" w14:cap="flat" w14:cmpd="sng">
            <w14:solidFill>
              <w14:srgbClr w14:val="000000"/>
            </w14:solidFill>
            <w14:prstDash w14:val="solid"/>
            <w14:miter w14:val="10"/>
          </w14:textOutline>
        </w:rPr>
        <w:t>情况（示例）</w:t>
      </w:r>
    </w:p>
    <w:p>
      <w:pPr>
        <w:spacing w:line="131" w:lineRule="exact"/>
      </w:pPr>
    </w:p>
    <w:tbl>
      <w:tblPr>
        <w:tblStyle w:val="5"/>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1"/>
        <w:gridCol w:w="4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541" w:type="dxa"/>
            <w:vAlign w:val="top"/>
          </w:tcPr>
          <w:p>
            <w:pPr>
              <w:pStyle w:val="6"/>
              <w:spacing w:before="120" w:line="221" w:lineRule="auto"/>
              <w:ind w:left="110"/>
            </w:pPr>
            <w:r>
              <w:rPr>
                <w:rFonts w:ascii="Times New Roman" w:hAnsi="Times New Roman" w:eastAsia="Times New Roman" w:cs="Times New Roman"/>
                <w:spacing w:val="-1"/>
              </w:rPr>
              <w:t xml:space="preserve">ISR </w:t>
            </w:r>
            <w:r>
              <w:rPr>
                <w:spacing w:val="-1"/>
              </w:rPr>
              <w:t>样品数量</w:t>
            </w:r>
          </w:p>
        </w:tc>
        <w:tc>
          <w:tcPr>
            <w:tcW w:w="4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541" w:type="dxa"/>
            <w:vAlign w:val="top"/>
          </w:tcPr>
          <w:p>
            <w:pPr>
              <w:pStyle w:val="6"/>
              <w:spacing w:before="122" w:line="221" w:lineRule="auto"/>
              <w:ind w:left="115"/>
            </w:pPr>
            <w:r>
              <w:rPr>
                <w:spacing w:val="-1"/>
              </w:rPr>
              <w:t>再分析结果符合接受标准的数量</w:t>
            </w:r>
          </w:p>
        </w:tc>
        <w:tc>
          <w:tcPr>
            <w:tcW w:w="4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541" w:type="dxa"/>
            <w:vAlign w:val="top"/>
          </w:tcPr>
          <w:p>
            <w:pPr>
              <w:pStyle w:val="6"/>
              <w:spacing w:before="52" w:line="250" w:lineRule="auto"/>
              <w:ind w:left="135" w:right="104" w:hanging="23"/>
              <w:rPr>
                <w:rFonts w:ascii="Times New Roman" w:hAnsi="Times New Roman" w:eastAsia="Times New Roman" w:cs="Times New Roman"/>
              </w:rPr>
            </w:pPr>
            <w:r>
              <w:rPr>
                <w:spacing w:val="27"/>
              </w:rPr>
              <w:t>在分析结果符合接受标准的百分</w:t>
            </w:r>
            <w:r>
              <w:t xml:space="preserve"> </w:t>
            </w:r>
            <w:r>
              <w:rPr>
                <w:spacing w:val="-15"/>
              </w:rPr>
              <w:t>比</w:t>
            </w:r>
            <w:r>
              <w:rPr>
                <w:rFonts w:ascii="Times New Roman" w:hAnsi="Times New Roman" w:eastAsia="Times New Roman" w:cs="Times New Roman"/>
                <w:spacing w:val="-15"/>
              </w:rPr>
              <w:t>%</w:t>
            </w:r>
          </w:p>
        </w:tc>
        <w:tc>
          <w:tcPr>
            <w:tcW w:w="4871" w:type="dxa"/>
            <w:vAlign w:val="top"/>
          </w:tcPr>
          <w:p>
            <w:pPr>
              <w:rPr>
                <w:rFonts w:ascii="Arial"/>
                <w:sz w:val="21"/>
              </w:rPr>
            </w:pPr>
          </w:p>
        </w:tc>
      </w:tr>
    </w:tbl>
    <w:p>
      <w:pPr>
        <w:pStyle w:val="2"/>
        <w:spacing w:before="183" w:line="221" w:lineRule="auto"/>
        <w:ind w:left="3158"/>
        <w:rPr>
          <w:sz w:val="21"/>
          <w:szCs w:val="21"/>
        </w:rPr>
      </w:pPr>
      <w:r>
        <w:rPr>
          <w:spacing w:val="-2"/>
          <w:sz w:val="21"/>
          <w:szCs w:val="21"/>
          <w14:textOutline w14:w="3831" w14:cap="flat" w14:cmpd="sng">
            <w14:solidFill>
              <w14:srgbClr w14:val="000000"/>
            </w14:solidFill>
            <w14:prstDash w14:val="solid"/>
            <w14:miter w14:val="10"/>
          </w14:textOutline>
        </w:rPr>
        <w:t>重复测定情况（示例）</w:t>
      </w:r>
    </w:p>
    <w:p>
      <w:pPr>
        <w:spacing w:line="131" w:lineRule="exact"/>
      </w:pPr>
    </w:p>
    <w:tbl>
      <w:tblPr>
        <w:tblStyle w:val="5"/>
        <w:tblW w:w="8412"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2"/>
        <w:gridCol w:w="1094"/>
        <w:gridCol w:w="1099"/>
        <w:gridCol w:w="1099"/>
        <w:gridCol w:w="1099"/>
        <w:gridCol w:w="1085"/>
        <w:gridCol w:w="1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842" w:type="dxa"/>
            <w:vMerge w:val="restart"/>
            <w:tcBorders>
              <w:bottom w:val="nil"/>
            </w:tcBorders>
            <w:vAlign w:val="top"/>
          </w:tcPr>
          <w:p>
            <w:pPr>
              <w:spacing w:line="272" w:lineRule="auto"/>
              <w:rPr>
                <w:rFonts w:ascii="Arial"/>
                <w:sz w:val="21"/>
              </w:rPr>
            </w:pPr>
          </w:p>
          <w:p>
            <w:pPr>
              <w:spacing w:line="272" w:lineRule="auto"/>
              <w:rPr>
                <w:rFonts w:ascii="Arial"/>
                <w:sz w:val="21"/>
              </w:rPr>
            </w:pPr>
          </w:p>
          <w:p>
            <w:pPr>
              <w:pStyle w:val="6"/>
              <w:spacing w:before="68" w:line="221" w:lineRule="auto"/>
              <w:ind w:left="191"/>
            </w:pPr>
            <w:r>
              <w:rPr>
                <w:spacing w:val="-1"/>
                <w14:textOutline w14:w="3831" w14:cap="flat" w14:cmpd="sng">
                  <w14:solidFill>
                    <w14:srgbClr w14:val="000000"/>
                  </w14:solidFill>
                  <w14:prstDash w14:val="solid"/>
                  <w14:miter w14:val="10"/>
                </w14:textOutline>
              </w:rPr>
              <w:t>重复测定的原因</w:t>
            </w:r>
          </w:p>
        </w:tc>
        <w:tc>
          <w:tcPr>
            <w:tcW w:w="4391" w:type="dxa"/>
            <w:gridSpan w:val="4"/>
            <w:vAlign w:val="top"/>
          </w:tcPr>
          <w:p>
            <w:pPr>
              <w:pStyle w:val="6"/>
              <w:spacing w:before="96" w:line="221" w:lineRule="auto"/>
              <w:ind w:left="1460"/>
            </w:pPr>
            <w:r>
              <w:rPr>
                <w:spacing w:val="-1"/>
                <w14:textOutline w14:w="3831" w14:cap="flat" w14:cmpd="sng">
                  <w14:solidFill>
                    <w14:srgbClr w14:val="000000"/>
                  </w14:solidFill>
                  <w14:prstDash w14:val="solid"/>
                  <w14:miter w14:val="10"/>
                </w14:textOutline>
              </w:rPr>
              <w:t>重复测定样品数</w:t>
            </w:r>
          </w:p>
        </w:tc>
        <w:tc>
          <w:tcPr>
            <w:tcW w:w="2179" w:type="dxa"/>
            <w:gridSpan w:val="2"/>
            <w:vAlign w:val="top"/>
          </w:tcPr>
          <w:p>
            <w:pPr>
              <w:pStyle w:val="6"/>
              <w:spacing w:before="96" w:line="221" w:lineRule="auto"/>
              <w:ind w:left="673"/>
            </w:pPr>
            <w:r>
              <w:rPr>
                <w:spacing w:val="-2"/>
                <w14:textOutline w14:w="3831" w14:cap="flat" w14:cmpd="sng">
                  <w14:solidFill>
                    <w14:srgbClr w14:val="000000"/>
                  </w14:solidFill>
                  <w14:prstDash w14:val="solid"/>
                  <w14:miter w14:val="10"/>
                </w14:textOutline>
              </w:rPr>
              <w:t>取值情况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842" w:type="dxa"/>
            <w:vMerge w:val="continue"/>
            <w:tcBorders>
              <w:top w:val="nil"/>
              <w:bottom w:val="nil"/>
            </w:tcBorders>
            <w:vAlign w:val="top"/>
          </w:tcPr>
          <w:p>
            <w:pPr>
              <w:rPr>
                <w:rFonts w:ascii="Arial"/>
                <w:sz w:val="21"/>
              </w:rPr>
            </w:pPr>
          </w:p>
        </w:tc>
        <w:tc>
          <w:tcPr>
            <w:tcW w:w="2193" w:type="dxa"/>
            <w:gridSpan w:val="2"/>
            <w:vAlign w:val="top"/>
          </w:tcPr>
          <w:p>
            <w:pPr>
              <w:pStyle w:val="6"/>
              <w:spacing w:before="207" w:line="221" w:lineRule="auto"/>
              <w:ind w:left="682"/>
            </w:pPr>
            <w:r>
              <w:rPr>
                <w:spacing w:val="-2"/>
                <w14:textOutline w14:w="3831" w14:cap="flat" w14:cmpd="sng">
                  <w14:solidFill>
                    <w14:srgbClr w14:val="000000"/>
                  </w14:solidFill>
                  <w14:prstDash w14:val="solid"/>
                  <w14:miter w14:val="10"/>
                </w14:textOutline>
              </w:rPr>
              <w:t>实际数量</w:t>
            </w:r>
          </w:p>
        </w:tc>
        <w:tc>
          <w:tcPr>
            <w:tcW w:w="2198" w:type="dxa"/>
            <w:gridSpan w:val="2"/>
            <w:vAlign w:val="top"/>
          </w:tcPr>
          <w:p>
            <w:pPr>
              <w:pStyle w:val="6"/>
              <w:spacing w:before="53" w:line="250" w:lineRule="auto"/>
              <w:ind w:left="917" w:right="245" w:hanging="617"/>
              <w:rPr>
                <w:rFonts w:ascii="Times New Roman" w:hAnsi="Times New Roman" w:eastAsia="Times New Roman" w:cs="Times New Roman"/>
              </w:rPr>
            </w:pPr>
            <w:r>
              <w:rPr>
                <w:spacing w:val="-5"/>
                <w14:textOutline w14:w="3831" w14:cap="flat" w14:cmpd="sng">
                  <w14:solidFill>
                    <w14:srgbClr w14:val="000000"/>
                  </w14:solidFill>
                  <w14:prstDash w14:val="solid"/>
                  <w14:miter w14:val="10"/>
                </w14:textOutline>
              </w:rPr>
              <w:t>占总样品数的百分</w:t>
            </w:r>
            <w:r>
              <w:rPr>
                <w:spacing w:val="5"/>
              </w:rPr>
              <w:t xml:space="preserve"> </w:t>
            </w:r>
            <w:r>
              <w:rPr>
                <w:spacing w:val="-13"/>
                <w14:textOutline w14:w="3831" w14:cap="flat" w14:cmpd="sng">
                  <w14:solidFill>
                    <w14:srgbClr w14:val="000000"/>
                  </w14:solidFill>
                  <w14:prstDash w14:val="solid"/>
                  <w14:miter w14:val="10"/>
                </w14:textOutline>
              </w:rPr>
              <w:t>比</w:t>
            </w:r>
            <w:r>
              <w:rPr>
                <w:rFonts w:ascii="Times New Roman" w:hAnsi="Times New Roman" w:eastAsia="Times New Roman" w:cs="Times New Roman"/>
                <w:b/>
                <w:bCs/>
                <w:spacing w:val="-13"/>
              </w:rPr>
              <w:t>%</w:t>
            </w:r>
          </w:p>
        </w:tc>
        <w:tc>
          <w:tcPr>
            <w:tcW w:w="1085" w:type="dxa"/>
            <w:vMerge w:val="restart"/>
            <w:tcBorders>
              <w:bottom w:val="nil"/>
            </w:tcBorders>
            <w:vAlign w:val="top"/>
          </w:tcPr>
          <w:p>
            <w:pPr>
              <w:pStyle w:val="6"/>
              <w:spacing w:before="255" w:line="221" w:lineRule="auto"/>
              <w:ind w:left="122"/>
            </w:pPr>
            <w:r>
              <w:rPr>
                <w:spacing w:val="-1"/>
                <w14:textOutline w14:w="3831" w14:cap="flat" w14:cmpd="sng">
                  <w14:solidFill>
                    <w14:srgbClr w14:val="000000"/>
                  </w14:solidFill>
                  <w14:prstDash w14:val="solid"/>
                  <w14:miter w14:val="10"/>
                </w14:textOutline>
              </w:rPr>
              <w:t>初测值或</w:t>
            </w:r>
          </w:p>
          <w:p>
            <w:pPr>
              <w:pStyle w:val="6"/>
              <w:spacing w:before="60" w:line="221" w:lineRule="auto"/>
              <w:ind w:left="234"/>
            </w:pPr>
            <w:r>
              <w:rPr>
                <w:spacing w:val="-3"/>
                <w14:textOutline w14:w="3831" w14:cap="flat" w14:cmpd="sng">
                  <w14:solidFill>
                    <w14:srgbClr w14:val="000000"/>
                  </w14:solidFill>
                  <w14:prstDash w14:val="solid"/>
                  <w14:miter w14:val="10"/>
                </w14:textOutline>
              </w:rPr>
              <w:t>复测值</w:t>
            </w:r>
          </w:p>
        </w:tc>
        <w:tc>
          <w:tcPr>
            <w:tcW w:w="1094" w:type="dxa"/>
            <w:vMerge w:val="restart"/>
            <w:tcBorders>
              <w:bottom w:val="nil"/>
            </w:tcBorders>
            <w:vAlign w:val="top"/>
          </w:tcPr>
          <w:p>
            <w:pPr>
              <w:spacing w:line="338" w:lineRule="auto"/>
              <w:rPr>
                <w:rFonts w:ascii="Arial"/>
                <w:sz w:val="21"/>
              </w:rPr>
            </w:pPr>
          </w:p>
          <w:p>
            <w:pPr>
              <w:pStyle w:val="6"/>
              <w:spacing w:before="68" w:line="220" w:lineRule="auto"/>
              <w:ind w:left="130"/>
            </w:pPr>
            <w:r>
              <w:rPr>
                <w:spacing w:val="-2"/>
                <w14:textOutline w14:w="3831" w14:cap="flat" w14:cmpd="sng">
                  <w14:solidFill>
                    <w14:srgbClr w14:val="000000"/>
                  </w14:solidFill>
                  <w14:prstDash w14:val="solid"/>
                  <w14:miter w14:val="10"/>
                </w14:textOutline>
              </w:rPr>
              <w:t>取值依据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842" w:type="dxa"/>
            <w:vMerge w:val="continue"/>
            <w:tcBorders>
              <w:top w:val="nil"/>
            </w:tcBorders>
            <w:vAlign w:val="top"/>
          </w:tcPr>
          <w:p>
            <w:pPr>
              <w:rPr>
                <w:rFonts w:ascii="Arial"/>
                <w:sz w:val="21"/>
              </w:rPr>
            </w:pPr>
          </w:p>
        </w:tc>
        <w:tc>
          <w:tcPr>
            <w:tcW w:w="1094" w:type="dxa"/>
            <w:vAlign w:val="top"/>
          </w:tcPr>
          <w:p>
            <w:pPr>
              <w:pStyle w:val="6"/>
              <w:spacing w:before="88" w:line="222" w:lineRule="auto"/>
              <w:ind w:left="345"/>
            </w:pPr>
            <w:r>
              <w:rPr>
                <w:spacing w:val="-3"/>
                <w14:textOutline w14:w="3831" w14:cap="flat" w14:cmpd="sng">
                  <w14:solidFill>
                    <w14:srgbClr w14:val="000000"/>
                  </w14:solidFill>
                  <w14:prstDash w14:val="solid"/>
                  <w14:miter w14:val="10"/>
                </w14:textOutline>
              </w:rPr>
              <w:t>受试</w:t>
            </w:r>
          </w:p>
        </w:tc>
        <w:tc>
          <w:tcPr>
            <w:tcW w:w="1099" w:type="dxa"/>
            <w:vAlign w:val="top"/>
          </w:tcPr>
          <w:p>
            <w:pPr>
              <w:pStyle w:val="6"/>
              <w:spacing w:before="89" w:line="223" w:lineRule="auto"/>
              <w:ind w:left="348"/>
            </w:pPr>
            <w:r>
              <w:rPr>
                <w:spacing w:val="-2"/>
                <w14:textOutline w14:w="3831" w14:cap="flat" w14:cmpd="sng">
                  <w14:solidFill>
                    <w14:srgbClr w14:val="000000"/>
                  </w14:solidFill>
                  <w14:prstDash w14:val="solid"/>
                  <w14:miter w14:val="10"/>
                </w14:textOutline>
              </w:rPr>
              <w:t>参比</w:t>
            </w:r>
          </w:p>
        </w:tc>
        <w:tc>
          <w:tcPr>
            <w:tcW w:w="1099" w:type="dxa"/>
            <w:vAlign w:val="top"/>
          </w:tcPr>
          <w:p>
            <w:pPr>
              <w:pStyle w:val="6"/>
              <w:spacing w:before="88" w:line="222" w:lineRule="auto"/>
              <w:ind w:left="351"/>
            </w:pPr>
            <w:r>
              <w:rPr>
                <w:spacing w:val="-3"/>
                <w14:textOutline w14:w="3831" w14:cap="flat" w14:cmpd="sng">
                  <w14:solidFill>
                    <w14:srgbClr w14:val="000000"/>
                  </w14:solidFill>
                  <w14:prstDash w14:val="solid"/>
                  <w14:miter w14:val="10"/>
                </w14:textOutline>
              </w:rPr>
              <w:t>受试</w:t>
            </w:r>
          </w:p>
        </w:tc>
        <w:tc>
          <w:tcPr>
            <w:tcW w:w="1099" w:type="dxa"/>
            <w:vAlign w:val="top"/>
          </w:tcPr>
          <w:p>
            <w:pPr>
              <w:pStyle w:val="6"/>
              <w:spacing w:before="89" w:line="223" w:lineRule="auto"/>
              <w:ind w:left="344"/>
            </w:pPr>
            <w:r>
              <w:rPr>
                <w:spacing w:val="-2"/>
                <w14:textOutline w14:w="3831" w14:cap="flat" w14:cmpd="sng">
                  <w14:solidFill>
                    <w14:srgbClr w14:val="000000"/>
                  </w14:solidFill>
                  <w14:prstDash w14:val="solid"/>
                  <w14:miter w14:val="10"/>
                </w14:textOutline>
              </w:rPr>
              <w:t>参比</w:t>
            </w:r>
          </w:p>
        </w:tc>
        <w:tc>
          <w:tcPr>
            <w:tcW w:w="1085"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42" w:type="dxa"/>
            <w:vAlign w:val="top"/>
          </w:tcPr>
          <w:p>
            <w:pPr>
              <w:pStyle w:val="6"/>
              <w:spacing w:before="50" w:line="248" w:lineRule="auto"/>
              <w:ind w:left="121" w:right="117" w:firstLine="1"/>
            </w:pPr>
            <w:r>
              <w:rPr>
                <w:spacing w:val="-21"/>
              </w:rPr>
              <w:t>原因</w:t>
            </w:r>
            <w:r>
              <w:rPr>
                <w:spacing w:val="-51"/>
              </w:rPr>
              <w:t xml:space="preserve"> </w:t>
            </w:r>
            <w:r>
              <w:rPr>
                <w:rFonts w:ascii="Times New Roman" w:hAnsi="Times New Roman" w:eastAsia="Times New Roman" w:cs="Times New Roman"/>
                <w:spacing w:val="-21"/>
              </w:rPr>
              <w:t>A</w:t>
            </w:r>
            <w:r>
              <w:rPr>
                <w:spacing w:val="-21"/>
              </w:rPr>
              <w:t>（例如：</w:t>
            </w:r>
            <w:r>
              <w:rPr>
                <w:spacing w:val="-18"/>
              </w:rPr>
              <w:t xml:space="preserve"> </w:t>
            </w:r>
            <w:r>
              <w:rPr>
                <w:spacing w:val="-21"/>
              </w:rPr>
              <w:t>低</w:t>
            </w:r>
            <w:r>
              <w:t xml:space="preserve"> </w:t>
            </w:r>
            <w:r>
              <w:rPr>
                <w:spacing w:val="-2"/>
              </w:rPr>
              <w:t>于定量下限 ）</w:t>
            </w:r>
          </w:p>
        </w:tc>
        <w:tc>
          <w:tcPr>
            <w:tcW w:w="1094"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85" w:type="dxa"/>
            <w:vAlign w:val="top"/>
          </w:tcPr>
          <w:p>
            <w:pPr>
              <w:rPr>
                <w:rFonts w:ascii="Arial"/>
                <w:sz w:val="21"/>
              </w:rPr>
            </w:pPr>
          </w:p>
        </w:tc>
        <w:tc>
          <w:tcPr>
            <w:tcW w:w="10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42" w:type="dxa"/>
            <w:vAlign w:val="top"/>
          </w:tcPr>
          <w:p>
            <w:pPr>
              <w:pStyle w:val="6"/>
              <w:spacing w:before="51" w:line="248" w:lineRule="auto"/>
              <w:ind w:left="123" w:right="116"/>
            </w:pPr>
            <w:r>
              <w:rPr>
                <w:spacing w:val="-9"/>
              </w:rPr>
              <w:t>原因</w:t>
            </w:r>
            <w:r>
              <w:rPr>
                <w:spacing w:val="-48"/>
              </w:rPr>
              <w:t xml:space="preserve"> </w:t>
            </w:r>
            <w:r>
              <w:rPr>
                <w:rFonts w:ascii="Times New Roman" w:hAnsi="Times New Roman" w:eastAsia="Times New Roman" w:cs="Times New Roman"/>
                <w:spacing w:val="-9"/>
              </w:rPr>
              <w:t>B</w:t>
            </w:r>
            <w:r>
              <w:rPr>
                <w:spacing w:val="-9"/>
              </w:rPr>
              <w:t>（例如高于</w:t>
            </w:r>
            <w:r>
              <w:t xml:space="preserve"> </w:t>
            </w:r>
            <w:r>
              <w:rPr>
                <w:spacing w:val="-4"/>
              </w:rPr>
              <w:t>定量上限）</w:t>
            </w:r>
          </w:p>
        </w:tc>
        <w:tc>
          <w:tcPr>
            <w:tcW w:w="1094"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85" w:type="dxa"/>
            <w:vAlign w:val="top"/>
          </w:tcPr>
          <w:p>
            <w:pPr>
              <w:rPr>
                <w:rFonts w:ascii="Arial"/>
                <w:sz w:val="21"/>
              </w:rPr>
            </w:pPr>
          </w:p>
        </w:tc>
        <w:tc>
          <w:tcPr>
            <w:tcW w:w="10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42" w:type="dxa"/>
            <w:vAlign w:val="top"/>
          </w:tcPr>
          <w:p>
            <w:pPr>
              <w:pStyle w:val="6"/>
              <w:spacing w:before="58" w:line="247" w:lineRule="auto"/>
              <w:ind w:left="123" w:right="115"/>
            </w:pPr>
            <w:r>
              <w:rPr>
                <w:spacing w:val="-10"/>
              </w:rPr>
              <w:t>原因</w:t>
            </w:r>
            <w:r>
              <w:rPr>
                <w:spacing w:val="-38"/>
              </w:rPr>
              <w:t xml:space="preserve"> </w:t>
            </w:r>
            <w:r>
              <w:rPr>
                <w:rFonts w:ascii="Times New Roman" w:hAnsi="Times New Roman" w:eastAsia="Times New Roman" w:cs="Times New Roman"/>
                <w:spacing w:val="-10"/>
              </w:rPr>
              <w:t>C</w:t>
            </w:r>
            <w:r>
              <w:rPr>
                <w:spacing w:val="-10"/>
              </w:rPr>
              <w:t>（例如进样</w:t>
            </w:r>
            <w:r>
              <w:t xml:space="preserve"> </w:t>
            </w:r>
            <w:r>
              <w:rPr>
                <w:spacing w:val="-6"/>
              </w:rPr>
              <w:t>失败）</w:t>
            </w:r>
          </w:p>
        </w:tc>
        <w:tc>
          <w:tcPr>
            <w:tcW w:w="1094"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85" w:type="dxa"/>
            <w:vAlign w:val="top"/>
          </w:tcPr>
          <w:p>
            <w:pPr>
              <w:rPr>
                <w:rFonts w:ascii="Arial"/>
                <w:sz w:val="21"/>
              </w:rPr>
            </w:pPr>
          </w:p>
        </w:tc>
        <w:tc>
          <w:tcPr>
            <w:tcW w:w="10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842" w:type="dxa"/>
            <w:vAlign w:val="top"/>
          </w:tcPr>
          <w:p>
            <w:pPr>
              <w:pStyle w:val="6"/>
              <w:spacing w:before="92" w:line="221" w:lineRule="auto"/>
              <w:ind w:left="119"/>
            </w:pPr>
            <w:r>
              <w:rPr>
                <w:spacing w:val="-2"/>
              </w:rPr>
              <w:t>其他</w:t>
            </w:r>
          </w:p>
        </w:tc>
        <w:tc>
          <w:tcPr>
            <w:tcW w:w="1094"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85" w:type="dxa"/>
            <w:vAlign w:val="top"/>
          </w:tcPr>
          <w:p>
            <w:pPr>
              <w:rPr>
                <w:rFonts w:ascii="Arial"/>
                <w:sz w:val="21"/>
              </w:rPr>
            </w:pPr>
          </w:p>
        </w:tc>
        <w:tc>
          <w:tcPr>
            <w:tcW w:w="10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842" w:type="dxa"/>
            <w:vAlign w:val="top"/>
          </w:tcPr>
          <w:p>
            <w:pPr>
              <w:pStyle w:val="6"/>
              <w:spacing w:before="96" w:line="222" w:lineRule="auto"/>
              <w:ind w:left="120"/>
            </w:pPr>
            <w:r>
              <w:rPr>
                <w:spacing w:val="-3"/>
              </w:rPr>
              <w:t>总计</w:t>
            </w:r>
          </w:p>
        </w:tc>
        <w:tc>
          <w:tcPr>
            <w:tcW w:w="1094"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99" w:type="dxa"/>
            <w:vAlign w:val="top"/>
          </w:tcPr>
          <w:p>
            <w:pPr>
              <w:rPr>
                <w:rFonts w:ascii="Arial"/>
                <w:sz w:val="21"/>
              </w:rPr>
            </w:pPr>
          </w:p>
        </w:tc>
        <w:tc>
          <w:tcPr>
            <w:tcW w:w="1085" w:type="dxa"/>
            <w:vAlign w:val="top"/>
          </w:tcPr>
          <w:p>
            <w:pPr>
              <w:spacing w:before="133" w:line="234" w:lineRule="auto"/>
              <w:ind w:left="50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094" w:type="dxa"/>
            <w:vAlign w:val="top"/>
          </w:tcPr>
          <w:p>
            <w:pPr>
              <w:spacing w:before="133" w:line="234" w:lineRule="auto"/>
              <w:ind w:left="51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bl>
    <w:p>
      <w:pPr>
        <w:pStyle w:val="2"/>
        <w:spacing w:before="114" w:line="220" w:lineRule="auto"/>
        <w:ind w:left="68"/>
        <w:outlineLvl w:val="0"/>
      </w:pPr>
      <w:r>
        <w:rPr>
          <w:rFonts w:ascii="Times New Roman" w:hAnsi="Times New Roman" w:eastAsia="Times New Roman" w:cs="Times New Roman"/>
          <w:b/>
          <w:bCs/>
          <w:spacing w:val="-2"/>
        </w:rPr>
        <w:t>10.</w:t>
      </w:r>
      <w:r>
        <w:rPr>
          <w:spacing w:val="-2"/>
          <w14:textOutline w14:w="4354" w14:cap="flat" w14:cmpd="sng">
            <w14:solidFill>
              <w14:srgbClr w14:val="000000"/>
            </w14:solidFill>
            <w14:prstDash w14:val="solid"/>
            <w14:miter w14:val="10"/>
          </w14:textOutline>
        </w:rPr>
        <w:t>数据集划分</w:t>
      </w:r>
    </w:p>
    <w:p>
      <w:pPr>
        <w:pStyle w:val="2"/>
        <w:spacing w:before="185" w:line="467" w:lineRule="exact"/>
        <w:ind w:left="546"/>
      </w:pPr>
      <w:r>
        <w:rPr>
          <w:spacing w:val="-1"/>
          <w:position w:val="17"/>
        </w:rPr>
        <w:t>简述</w:t>
      </w:r>
      <w:r>
        <w:rPr>
          <w:spacing w:val="-41"/>
          <w:position w:val="17"/>
        </w:rPr>
        <w:t xml:space="preserve"> </w:t>
      </w:r>
      <w:r>
        <w:rPr>
          <w:rFonts w:ascii="Times New Roman" w:hAnsi="Times New Roman" w:eastAsia="Times New Roman" w:cs="Times New Roman"/>
          <w:spacing w:val="-1"/>
          <w:position w:val="17"/>
        </w:rPr>
        <w:t xml:space="preserve">PK </w:t>
      </w:r>
      <w:r>
        <w:rPr>
          <w:spacing w:val="-1"/>
          <w:position w:val="17"/>
        </w:rPr>
        <w:t>参数集和</w:t>
      </w:r>
      <w:r>
        <w:rPr>
          <w:spacing w:val="-48"/>
          <w:position w:val="17"/>
        </w:rPr>
        <w:t xml:space="preserve"> </w:t>
      </w:r>
      <w:r>
        <w:rPr>
          <w:rFonts w:ascii="Times New Roman" w:hAnsi="Times New Roman" w:eastAsia="Times New Roman" w:cs="Times New Roman"/>
          <w:spacing w:val="-1"/>
          <w:position w:val="17"/>
        </w:rPr>
        <w:t xml:space="preserve">BE </w:t>
      </w:r>
      <w:r>
        <w:rPr>
          <w:spacing w:val="-1"/>
          <w:position w:val="17"/>
        </w:rPr>
        <w:t>集数据纳入情况。如有受试者数据剔除或缺失，予以</w:t>
      </w:r>
    </w:p>
    <w:p>
      <w:pPr>
        <w:pStyle w:val="2"/>
        <w:spacing w:line="219" w:lineRule="auto"/>
        <w:ind w:left="66"/>
      </w:pPr>
      <w:r>
        <w:rPr>
          <w:spacing w:val="-8"/>
        </w:rPr>
        <w:t>具体说明。</w:t>
      </w:r>
    </w:p>
    <w:p>
      <w:pPr>
        <w:pStyle w:val="2"/>
        <w:spacing w:before="238" w:line="221" w:lineRule="auto"/>
        <w:ind w:left="3054"/>
        <w:rPr>
          <w:sz w:val="21"/>
          <w:szCs w:val="21"/>
        </w:rPr>
      </w:pPr>
      <w:r>
        <w:rPr>
          <w:spacing w:val="-1"/>
          <w:sz w:val="21"/>
          <w:szCs w:val="21"/>
          <w14:textOutline w14:w="3831" w14:cap="flat" w14:cmpd="sng">
            <w14:solidFill>
              <w14:srgbClr w14:val="000000"/>
            </w14:solidFill>
            <w14:prstDash w14:val="solid"/>
            <w14:miter w14:val="10"/>
          </w14:textOutline>
        </w:rPr>
        <w:t>数据集划分情况（示例）</w:t>
      </w:r>
    </w:p>
    <w:p>
      <w:pPr>
        <w:spacing w:line="132" w:lineRule="exact"/>
      </w:pPr>
    </w:p>
    <w:tbl>
      <w:tblPr>
        <w:tblStyle w:val="5"/>
        <w:tblW w:w="8302"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5"/>
        <w:gridCol w:w="1204"/>
        <w:gridCol w:w="1204"/>
        <w:gridCol w:w="1737"/>
        <w:gridCol w:w="17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5" w:type="dxa"/>
            <w:vAlign w:val="top"/>
          </w:tcPr>
          <w:p>
            <w:pPr>
              <w:rPr>
                <w:rFonts w:ascii="Arial"/>
                <w:sz w:val="21"/>
              </w:rPr>
            </w:pPr>
          </w:p>
        </w:tc>
        <w:tc>
          <w:tcPr>
            <w:tcW w:w="1205" w:type="dxa"/>
            <w:vAlign w:val="top"/>
          </w:tcPr>
          <w:p>
            <w:pPr>
              <w:rPr>
                <w:rFonts w:ascii="Arial"/>
                <w:sz w:val="21"/>
              </w:rPr>
            </w:pPr>
          </w:p>
        </w:tc>
        <w:tc>
          <w:tcPr>
            <w:tcW w:w="1204" w:type="dxa"/>
            <w:vAlign w:val="top"/>
          </w:tcPr>
          <w:p>
            <w:pPr>
              <w:pStyle w:val="6"/>
              <w:spacing w:before="129" w:line="220" w:lineRule="auto"/>
              <w:ind w:left="117"/>
              <w:rPr>
                <w:sz w:val="20"/>
                <w:szCs w:val="20"/>
              </w:rPr>
            </w:pPr>
            <w:r>
              <w:rPr>
                <w:spacing w:val="-6"/>
                <w:sz w:val="20"/>
                <w:szCs w:val="20"/>
                <w14:textOutline w14:w="3657" w14:cap="flat" w14:cmpd="sng">
                  <w14:solidFill>
                    <w14:srgbClr w14:val="000000"/>
                  </w14:solidFill>
                  <w14:prstDash w14:val="solid"/>
                  <w14:miter w14:val="10"/>
                </w14:textOutline>
              </w:rPr>
              <w:t>受</w:t>
            </w:r>
            <w:r>
              <w:rPr>
                <w:spacing w:val="-30"/>
                <w:sz w:val="20"/>
                <w:szCs w:val="20"/>
              </w:rPr>
              <w:t xml:space="preserve"> </w:t>
            </w:r>
            <w:r>
              <w:rPr>
                <w:spacing w:val="-6"/>
                <w:sz w:val="20"/>
                <w:szCs w:val="20"/>
                <w14:textOutline w14:w="3657" w14:cap="flat" w14:cmpd="sng">
                  <w14:solidFill>
                    <w14:srgbClr w14:val="000000"/>
                  </w14:solidFill>
                  <w14:prstDash w14:val="solid"/>
                  <w14:miter w14:val="10"/>
                </w14:textOutline>
              </w:rPr>
              <w:t>试</w:t>
            </w:r>
            <w:r>
              <w:rPr>
                <w:spacing w:val="-29"/>
                <w:sz w:val="20"/>
                <w:szCs w:val="20"/>
              </w:rPr>
              <w:t xml:space="preserve"> </w:t>
            </w:r>
            <w:r>
              <w:rPr>
                <w:spacing w:val="-6"/>
                <w:sz w:val="20"/>
                <w:szCs w:val="20"/>
                <w14:textOutline w14:w="3657" w14:cap="flat" w14:cmpd="sng">
                  <w14:solidFill>
                    <w14:srgbClr w14:val="000000"/>
                  </w14:solidFill>
                  <w14:prstDash w14:val="solid"/>
                  <w14:miter w14:val="10"/>
                </w14:textOutline>
              </w:rPr>
              <w:t>制</w:t>
            </w:r>
            <w:r>
              <w:rPr>
                <w:spacing w:val="-29"/>
                <w:sz w:val="20"/>
                <w:szCs w:val="20"/>
              </w:rPr>
              <w:t xml:space="preserve"> </w:t>
            </w:r>
            <w:r>
              <w:rPr>
                <w:spacing w:val="-6"/>
                <w:sz w:val="20"/>
                <w:szCs w:val="20"/>
                <w14:textOutline w14:w="3657" w14:cap="flat" w14:cmpd="sng">
                  <w14:solidFill>
                    <w14:srgbClr w14:val="000000"/>
                  </w14:solidFill>
                  <w14:prstDash w14:val="solid"/>
                  <w14:miter w14:val="10"/>
                </w14:textOutline>
              </w:rPr>
              <w:t>剂</w:t>
            </w:r>
          </w:p>
        </w:tc>
        <w:tc>
          <w:tcPr>
            <w:tcW w:w="1204" w:type="dxa"/>
            <w:vAlign w:val="top"/>
          </w:tcPr>
          <w:p>
            <w:pPr>
              <w:pStyle w:val="6"/>
              <w:spacing w:before="129" w:line="220" w:lineRule="auto"/>
              <w:ind w:left="111"/>
              <w:rPr>
                <w:sz w:val="20"/>
                <w:szCs w:val="20"/>
              </w:rPr>
            </w:pPr>
            <w:r>
              <w:rPr>
                <w:spacing w:val="-11"/>
                <w:sz w:val="20"/>
                <w:szCs w:val="20"/>
                <w14:textOutline w14:w="3657" w14:cap="flat" w14:cmpd="sng">
                  <w14:solidFill>
                    <w14:srgbClr w14:val="000000"/>
                  </w14:solidFill>
                  <w14:prstDash w14:val="solid"/>
                  <w14:miter w14:val="10"/>
                </w14:textOutline>
              </w:rPr>
              <w:t>参</w:t>
            </w:r>
            <w:r>
              <w:rPr>
                <w:spacing w:val="-11"/>
                <w:sz w:val="20"/>
                <w:szCs w:val="20"/>
              </w:rPr>
              <w:t xml:space="preserve"> </w:t>
            </w:r>
            <w:r>
              <w:rPr>
                <w:spacing w:val="-11"/>
                <w:sz w:val="20"/>
                <w:szCs w:val="20"/>
                <w14:textOutline w14:w="3657" w14:cap="flat" w14:cmpd="sng">
                  <w14:solidFill>
                    <w14:srgbClr w14:val="000000"/>
                  </w14:solidFill>
                  <w14:prstDash w14:val="solid"/>
                  <w14:miter w14:val="10"/>
                </w14:textOutline>
              </w:rPr>
              <w:t>比</w:t>
            </w:r>
            <w:r>
              <w:rPr>
                <w:spacing w:val="-26"/>
                <w:sz w:val="20"/>
                <w:szCs w:val="20"/>
              </w:rPr>
              <w:t xml:space="preserve"> </w:t>
            </w:r>
            <w:r>
              <w:rPr>
                <w:spacing w:val="-11"/>
                <w:sz w:val="20"/>
                <w:szCs w:val="20"/>
                <w14:textOutline w14:w="3657" w14:cap="flat" w14:cmpd="sng">
                  <w14:solidFill>
                    <w14:srgbClr w14:val="000000"/>
                  </w14:solidFill>
                  <w14:prstDash w14:val="solid"/>
                  <w14:miter w14:val="10"/>
                </w14:textOutline>
              </w:rPr>
              <w:t>制</w:t>
            </w:r>
            <w:r>
              <w:rPr>
                <w:spacing w:val="-29"/>
                <w:sz w:val="20"/>
                <w:szCs w:val="20"/>
              </w:rPr>
              <w:t xml:space="preserve"> </w:t>
            </w:r>
            <w:r>
              <w:rPr>
                <w:spacing w:val="-11"/>
                <w:sz w:val="20"/>
                <w:szCs w:val="20"/>
                <w14:textOutline w14:w="3657" w14:cap="flat" w14:cmpd="sng">
                  <w14:solidFill>
                    <w14:srgbClr w14:val="000000"/>
                  </w14:solidFill>
                  <w14:prstDash w14:val="solid"/>
                  <w14:miter w14:val="10"/>
                </w14:textOutline>
              </w:rPr>
              <w:t>剂</w:t>
            </w:r>
          </w:p>
        </w:tc>
        <w:tc>
          <w:tcPr>
            <w:tcW w:w="1737" w:type="dxa"/>
            <w:vAlign w:val="top"/>
          </w:tcPr>
          <w:p>
            <w:pPr>
              <w:pStyle w:val="6"/>
              <w:spacing w:before="129" w:line="220" w:lineRule="auto"/>
              <w:ind w:left="115"/>
              <w:rPr>
                <w:sz w:val="20"/>
                <w:szCs w:val="20"/>
              </w:rPr>
            </w:pPr>
            <w:r>
              <w:rPr>
                <w:spacing w:val="-3"/>
                <w:sz w:val="20"/>
                <w:szCs w:val="20"/>
                <w14:textOutline w14:w="3657" w14:cap="flat" w14:cmpd="sng">
                  <w14:solidFill>
                    <w14:srgbClr w14:val="000000"/>
                  </w14:solidFill>
                  <w14:prstDash w14:val="solid"/>
                  <w14:miter w14:val="10"/>
                </w14:textOutline>
              </w:rPr>
              <w:t>受试制剂</w:t>
            </w:r>
            <w:r>
              <w:rPr>
                <w:spacing w:val="-3"/>
                <w:sz w:val="20"/>
                <w:szCs w:val="20"/>
              </w:rPr>
              <w:t xml:space="preserve"> </w:t>
            </w:r>
            <w:r>
              <w:rPr>
                <w:rFonts w:ascii="Times New Roman" w:hAnsi="Times New Roman" w:eastAsia="Times New Roman" w:cs="Times New Roman"/>
                <w:b/>
                <w:bCs/>
                <w:spacing w:val="-3"/>
                <w:sz w:val="20"/>
                <w:szCs w:val="20"/>
              </w:rPr>
              <w:t>T2</w:t>
            </w:r>
            <w:r>
              <w:rPr>
                <w:spacing w:val="-3"/>
                <w:sz w:val="20"/>
                <w:szCs w:val="20"/>
                <w14:textOutline w14:w="3657" w14:cap="flat" w14:cmpd="sng">
                  <w14:solidFill>
                    <w14:srgbClr w14:val="000000"/>
                  </w14:solidFill>
                  <w14:prstDash w14:val="solid"/>
                  <w14:miter w14:val="10"/>
                </w14:textOutline>
              </w:rPr>
              <w:t>（重</w:t>
            </w:r>
          </w:p>
        </w:tc>
        <w:tc>
          <w:tcPr>
            <w:tcW w:w="1747" w:type="dxa"/>
            <w:vAlign w:val="top"/>
          </w:tcPr>
          <w:p>
            <w:pPr>
              <w:pStyle w:val="6"/>
              <w:spacing w:before="129" w:line="220" w:lineRule="auto"/>
              <w:ind w:left="119"/>
              <w:rPr>
                <w:sz w:val="20"/>
                <w:szCs w:val="20"/>
              </w:rPr>
            </w:pPr>
            <w:r>
              <w:rPr>
                <w:spacing w:val="-2"/>
                <w:sz w:val="20"/>
                <w:szCs w:val="20"/>
                <w14:textOutline w14:w="3657" w14:cap="flat" w14:cmpd="sng">
                  <w14:solidFill>
                    <w14:srgbClr w14:val="000000"/>
                  </w14:solidFill>
                  <w14:prstDash w14:val="solid"/>
                  <w14:miter w14:val="10"/>
                </w14:textOutline>
              </w:rPr>
              <w:t>参比制剂</w:t>
            </w:r>
            <w:r>
              <w:rPr>
                <w:spacing w:val="-17"/>
                <w:sz w:val="20"/>
                <w:szCs w:val="20"/>
              </w:rPr>
              <w:t xml:space="preserve"> </w:t>
            </w:r>
            <w:r>
              <w:rPr>
                <w:rFonts w:ascii="Times New Roman" w:hAnsi="Times New Roman" w:eastAsia="Times New Roman" w:cs="Times New Roman"/>
                <w:b/>
                <w:bCs/>
                <w:spacing w:val="-2"/>
                <w:sz w:val="20"/>
                <w:szCs w:val="20"/>
              </w:rPr>
              <w:t>R2</w:t>
            </w:r>
            <w:r>
              <w:rPr>
                <w:spacing w:val="-2"/>
                <w:sz w:val="20"/>
                <w:szCs w:val="20"/>
                <w14:textOutline w14:w="3657" w14:cap="flat" w14:cmpd="sng">
                  <w14:solidFill>
                    <w14:srgbClr w14:val="000000"/>
                  </w14:solidFill>
                  <w14:prstDash w14:val="solid"/>
                  <w14:miter w14:val="10"/>
                </w14:textOutline>
              </w:rPr>
              <w:t>（重</w:t>
            </w:r>
          </w:p>
        </w:tc>
      </w:tr>
    </w:tbl>
    <w:p>
      <w:pPr>
        <w:rPr>
          <w:rFonts w:ascii="Arial"/>
          <w:sz w:val="21"/>
        </w:rPr>
      </w:pPr>
    </w:p>
    <w:p>
      <w:pPr>
        <w:rPr>
          <w:rFonts w:ascii="Arial" w:hAnsi="Arial" w:eastAsia="Arial" w:cs="Arial"/>
          <w:sz w:val="21"/>
          <w:szCs w:val="21"/>
        </w:rPr>
        <w:sectPr>
          <w:pgSz w:w="11905" w:h="16839"/>
          <w:pgMar w:top="1431" w:right="1685" w:bottom="0" w:left="1748" w:header="0" w:footer="0" w:gutter="0"/>
          <w:cols w:space="720" w:num="1"/>
        </w:sectPr>
      </w:pPr>
    </w:p>
    <w:p>
      <w:pPr>
        <w:spacing w:line="95" w:lineRule="auto"/>
        <w:rPr>
          <w:rFonts w:ascii="Arial"/>
          <w:sz w:val="2"/>
        </w:rPr>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5"/>
        <w:gridCol w:w="1204"/>
        <w:gridCol w:w="1204"/>
        <w:gridCol w:w="1737"/>
        <w:gridCol w:w="17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205" w:type="dxa"/>
            <w:vAlign w:val="top"/>
          </w:tcPr>
          <w:p>
            <w:pPr>
              <w:rPr>
                <w:rFonts w:ascii="Arial"/>
                <w:sz w:val="21"/>
              </w:rPr>
            </w:pPr>
          </w:p>
        </w:tc>
        <w:tc>
          <w:tcPr>
            <w:tcW w:w="1205" w:type="dxa"/>
            <w:vAlign w:val="top"/>
          </w:tcPr>
          <w:p>
            <w:pPr>
              <w:rPr>
                <w:rFonts w:ascii="Arial"/>
                <w:sz w:val="21"/>
              </w:rPr>
            </w:pPr>
          </w:p>
        </w:tc>
        <w:tc>
          <w:tcPr>
            <w:tcW w:w="1204" w:type="dxa"/>
            <w:vAlign w:val="top"/>
          </w:tcPr>
          <w:p>
            <w:pPr>
              <w:spacing w:before="99" w:line="187" w:lineRule="auto"/>
              <w:ind w:left="113"/>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T1</w:t>
            </w:r>
          </w:p>
        </w:tc>
        <w:tc>
          <w:tcPr>
            <w:tcW w:w="1204" w:type="dxa"/>
            <w:vAlign w:val="top"/>
          </w:tcPr>
          <w:p>
            <w:pPr>
              <w:spacing w:before="99" w:line="187" w:lineRule="auto"/>
              <w:ind w:left="10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R1</w:t>
            </w:r>
          </w:p>
        </w:tc>
        <w:tc>
          <w:tcPr>
            <w:tcW w:w="1737" w:type="dxa"/>
            <w:vAlign w:val="top"/>
          </w:tcPr>
          <w:p>
            <w:pPr>
              <w:pStyle w:val="6"/>
              <w:spacing w:before="56" w:line="222" w:lineRule="auto"/>
              <w:ind w:left="116"/>
              <w:rPr>
                <w:sz w:val="20"/>
                <w:szCs w:val="20"/>
              </w:rPr>
            </w:pPr>
            <w:r>
              <w:rPr>
                <w:spacing w:val="-3"/>
                <w:sz w:val="20"/>
                <w:szCs w:val="20"/>
                <w14:textOutline w14:w="3657" w14:cap="flat" w14:cmpd="sng">
                  <w14:solidFill>
                    <w14:srgbClr w14:val="000000"/>
                  </w14:solidFill>
                  <w14:prstDash w14:val="solid"/>
                  <w14:miter w14:val="10"/>
                </w14:textOutline>
              </w:rPr>
              <w:t>复设计填写）</w:t>
            </w:r>
          </w:p>
        </w:tc>
        <w:tc>
          <w:tcPr>
            <w:tcW w:w="1747" w:type="dxa"/>
            <w:vAlign w:val="top"/>
          </w:tcPr>
          <w:p>
            <w:pPr>
              <w:pStyle w:val="6"/>
              <w:spacing w:before="56" w:line="222" w:lineRule="auto"/>
              <w:ind w:left="122"/>
              <w:rPr>
                <w:sz w:val="20"/>
                <w:szCs w:val="20"/>
              </w:rPr>
            </w:pPr>
            <w:r>
              <w:rPr>
                <w:spacing w:val="-3"/>
                <w:sz w:val="20"/>
                <w:szCs w:val="20"/>
                <w14:textOutline w14:w="3657" w14:cap="flat" w14:cmpd="sng">
                  <w14:solidFill>
                    <w14:srgbClr w14:val="000000"/>
                  </w14:solidFill>
                  <w14:prstDash w14:val="solid"/>
                  <w14:miter w14:val="10"/>
                </w14:textOutline>
              </w:rPr>
              <w:t>复设计填写）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05" w:type="dxa"/>
            <w:vMerge w:val="restart"/>
            <w:tcBorders>
              <w:bottom w:val="nil"/>
            </w:tcBorders>
            <w:vAlign w:val="top"/>
          </w:tcPr>
          <w:p>
            <w:pPr>
              <w:spacing w:line="258" w:lineRule="auto"/>
              <w:rPr>
                <w:rFonts w:ascii="Arial"/>
                <w:sz w:val="21"/>
              </w:rPr>
            </w:pPr>
          </w:p>
          <w:p>
            <w:pPr>
              <w:spacing w:line="259" w:lineRule="auto"/>
              <w:rPr>
                <w:rFonts w:ascii="Arial"/>
                <w:sz w:val="21"/>
              </w:rPr>
            </w:pPr>
          </w:p>
          <w:p>
            <w:pPr>
              <w:pStyle w:val="6"/>
              <w:spacing w:before="65" w:line="221" w:lineRule="auto"/>
              <w:ind w:left="115"/>
              <w:rPr>
                <w:sz w:val="20"/>
                <w:szCs w:val="20"/>
              </w:rPr>
            </w:pPr>
            <w:r>
              <w:rPr>
                <w:rFonts w:ascii="Times New Roman" w:hAnsi="Times New Roman" w:eastAsia="Times New Roman" w:cs="Times New Roman"/>
                <w:b/>
                <w:bCs/>
                <w:sz w:val="20"/>
                <w:szCs w:val="20"/>
              </w:rPr>
              <w:t xml:space="preserve">PK </w:t>
            </w:r>
            <w:r>
              <w:rPr>
                <w:sz w:val="20"/>
                <w:szCs w:val="20"/>
                <w14:textOutline w14:w="3657" w14:cap="flat" w14:cmpd="sng">
                  <w14:solidFill>
                    <w14:srgbClr w14:val="000000"/>
                  </w14:solidFill>
                  <w14:prstDash w14:val="solid"/>
                  <w14:miter w14:val="10"/>
                </w14:textOutline>
              </w:rPr>
              <w:t>参数集</w:t>
            </w:r>
          </w:p>
        </w:tc>
        <w:tc>
          <w:tcPr>
            <w:tcW w:w="1205" w:type="dxa"/>
            <w:vAlign w:val="top"/>
          </w:tcPr>
          <w:p>
            <w:pPr>
              <w:spacing w:before="165" w:line="224" w:lineRule="auto"/>
              <w:ind w:left="113"/>
              <w:rPr>
                <w:rFonts w:ascii="Times New Roman" w:hAnsi="Times New Roman" w:eastAsia="Times New Roman" w:cs="Times New Roman"/>
                <w:sz w:val="12"/>
                <w:szCs w:val="12"/>
              </w:rPr>
            </w:pPr>
            <w:r>
              <w:rPr>
                <w:rFonts w:ascii="Times New Roman" w:hAnsi="Times New Roman" w:eastAsia="Times New Roman" w:cs="Times New Roman"/>
                <w:b/>
                <w:bCs/>
                <w:spacing w:val="2"/>
                <w:sz w:val="20"/>
                <w:szCs w:val="20"/>
              </w:rPr>
              <w:t>C</w:t>
            </w:r>
            <w:r>
              <w:rPr>
                <w:rFonts w:ascii="Times New Roman" w:hAnsi="Times New Roman" w:eastAsia="Times New Roman" w:cs="Times New Roman"/>
                <w:b/>
                <w:bCs/>
                <w:spacing w:val="2"/>
                <w:sz w:val="12"/>
                <w:szCs w:val="12"/>
              </w:rPr>
              <w:t>max</w:t>
            </w:r>
          </w:p>
        </w:tc>
        <w:tc>
          <w:tcPr>
            <w:tcW w:w="1204" w:type="dxa"/>
            <w:vAlign w:val="top"/>
          </w:tcPr>
          <w:p>
            <w:pPr>
              <w:pStyle w:val="6"/>
              <w:spacing w:before="124" w:line="221" w:lineRule="auto"/>
              <w:ind w:left="19"/>
              <w:rPr>
                <w:sz w:val="20"/>
                <w:szCs w:val="20"/>
              </w:rPr>
            </w:pPr>
            <w:r>
              <w:rPr>
                <w:spacing w:val="-5"/>
                <w:sz w:val="20"/>
                <w:szCs w:val="20"/>
              </w:rPr>
              <w:t>（例数）</w:t>
            </w:r>
          </w:p>
        </w:tc>
        <w:tc>
          <w:tcPr>
            <w:tcW w:w="1204" w:type="dxa"/>
            <w:vAlign w:val="top"/>
          </w:tcPr>
          <w:p>
            <w:pPr>
              <w:rPr>
                <w:rFonts w:ascii="Arial"/>
                <w:sz w:val="21"/>
              </w:rPr>
            </w:pPr>
          </w:p>
        </w:tc>
        <w:tc>
          <w:tcPr>
            <w:tcW w:w="1737"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5" w:type="dxa"/>
            <w:vMerge w:val="continue"/>
            <w:tcBorders>
              <w:top w:val="nil"/>
              <w:bottom w:val="nil"/>
            </w:tcBorders>
            <w:vAlign w:val="top"/>
          </w:tcPr>
          <w:p>
            <w:pPr>
              <w:rPr>
                <w:rFonts w:ascii="Arial"/>
                <w:sz w:val="21"/>
              </w:rPr>
            </w:pPr>
          </w:p>
        </w:tc>
        <w:tc>
          <w:tcPr>
            <w:tcW w:w="1205" w:type="dxa"/>
            <w:vAlign w:val="top"/>
          </w:tcPr>
          <w:p>
            <w:pPr>
              <w:spacing w:before="167" w:line="224" w:lineRule="auto"/>
              <w:ind w:left="107"/>
              <w:rPr>
                <w:rFonts w:ascii="Times New Roman" w:hAnsi="Times New Roman" w:eastAsia="Times New Roman" w:cs="Times New Roman"/>
                <w:sz w:val="12"/>
                <w:szCs w:val="12"/>
              </w:rPr>
            </w:pPr>
            <w:r>
              <w:rPr>
                <w:rFonts w:ascii="Times New Roman" w:hAnsi="Times New Roman" w:eastAsia="Times New Roman" w:cs="Times New Roman"/>
                <w:b/>
                <w:bCs/>
                <w:sz w:val="20"/>
                <w:szCs w:val="20"/>
              </w:rPr>
              <w:t>AUC</w:t>
            </w:r>
            <w:r>
              <w:rPr>
                <w:rFonts w:ascii="Times New Roman" w:hAnsi="Times New Roman" w:eastAsia="Times New Roman" w:cs="Times New Roman"/>
                <w:b/>
                <w:bCs/>
                <w:spacing w:val="3"/>
                <w:sz w:val="12"/>
                <w:szCs w:val="12"/>
              </w:rPr>
              <w:t>0-t</w:t>
            </w:r>
          </w:p>
        </w:tc>
        <w:tc>
          <w:tcPr>
            <w:tcW w:w="1204" w:type="dxa"/>
            <w:vAlign w:val="top"/>
          </w:tcPr>
          <w:p>
            <w:pPr>
              <w:rPr>
                <w:rFonts w:ascii="Arial"/>
                <w:sz w:val="21"/>
              </w:rPr>
            </w:pPr>
          </w:p>
        </w:tc>
        <w:tc>
          <w:tcPr>
            <w:tcW w:w="1204" w:type="dxa"/>
            <w:vAlign w:val="top"/>
          </w:tcPr>
          <w:p>
            <w:pPr>
              <w:rPr>
                <w:rFonts w:ascii="Arial"/>
                <w:sz w:val="21"/>
              </w:rPr>
            </w:pPr>
          </w:p>
        </w:tc>
        <w:tc>
          <w:tcPr>
            <w:tcW w:w="1737"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5" w:type="dxa"/>
            <w:vMerge w:val="continue"/>
            <w:tcBorders>
              <w:top w:val="nil"/>
            </w:tcBorders>
            <w:vAlign w:val="top"/>
          </w:tcPr>
          <w:p>
            <w:pPr>
              <w:rPr>
                <w:rFonts w:ascii="Arial"/>
                <w:sz w:val="21"/>
              </w:rPr>
            </w:pPr>
          </w:p>
        </w:tc>
        <w:tc>
          <w:tcPr>
            <w:tcW w:w="1205" w:type="dxa"/>
            <w:vAlign w:val="top"/>
          </w:tcPr>
          <w:p>
            <w:pPr>
              <w:spacing w:before="167" w:line="224" w:lineRule="auto"/>
              <w:ind w:left="107"/>
              <w:rPr>
                <w:rFonts w:ascii="Times New Roman" w:hAnsi="Times New Roman" w:eastAsia="Times New Roman" w:cs="Times New Roman"/>
                <w:sz w:val="12"/>
                <w:szCs w:val="12"/>
              </w:rPr>
            </w:pPr>
            <w:r>
              <w:rPr>
                <w:rFonts w:ascii="Times New Roman" w:hAnsi="Times New Roman" w:eastAsia="Times New Roman" w:cs="Times New Roman"/>
                <w:b/>
                <w:bCs/>
                <w:sz w:val="20"/>
                <w:szCs w:val="20"/>
              </w:rPr>
              <w:t>AUC</w:t>
            </w:r>
            <w:r>
              <w:rPr>
                <w:rFonts w:ascii="Times New Roman" w:hAnsi="Times New Roman" w:eastAsia="Times New Roman" w:cs="Times New Roman"/>
                <w:b/>
                <w:bCs/>
                <w:spacing w:val="4"/>
                <w:sz w:val="12"/>
                <w:szCs w:val="12"/>
              </w:rPr>
              <w:t>0-∞</w:t>
            </w:r>
          </w:p>
        </w:tc>
        <w:tc>
          <w:tcPr>
            <w:tcW w:w="1204" w:type="dxa"/>
            <w:vAlign w:val="top"/>
          </w:tcPr>
          <w:p>
            <w:pPr>
              <w:rPr>
                <w:rFonts w:ascii="Arial"/>
                <w:sz w:val="21"/>
              </w:rPr>
            </w:pPr>
          </w:p>
        </w:tc>
        <w:tc>
          <w:tcPr>
            <w:tcW w:w="1204" w:type="dxa"/>
            <w:vAlign w:val="top"/>
          </w:tcPr>
          <w:p>
            <w:pPr>
              <w:rPr>
                <w:rFonts w:ascii="Arial"/>
                <w:sz w:val="21"/>
              </w:rPr>
            </w:pPr>
          </w:p>
        </w:tc>
        <w:tc>
          <w:tcPr>
            <w:tcW w:w="1737"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05" w:type="dxa"/>
            <w:vMerge w:val="restart"/>
            <w:tcBorders>
              <w:bottom w:val="nil"/>
            </w:tcBorders>
            <w:vAlign w:val="top"/>
          </w:tcPr>
          <w:p>
            <w:pPr>
              <w:spacing w:line="260" w:lineRule="auto"/>
              <w:rPr>
                <w:rFonts w:ascii="Arial"/>
                <w:sz w:val="21"/>
              </w:rPr>
            </w:pPr>
          </w:p>
          <w:p>
            <w:pPr>
              <w:spacing w:line="260" w:lineRule="auto"/>
              <w:rPr>
                <w:rFonts w:ascii="Arial"/>
                <w:sz w:val="21"/>
              </w:rPr>
            </w:pPr>
          </w:p>
          <w:p>
            <w:pPr>
              <w:pStyle w:val="6"/>
              <w:spacing w:before="65" w:line="221" w:lineRule="auto"/>
              <w:ind w:left="114"/>
              <w:rPr>
                <w:sz w:val="20"/>
                <w:szCs w:val="20"/>
              </w:rPr>
            </w:pPr>
            <w:r>
              <w:rPr>
                <w:rFonts w:ascii="Times New Roman" w:hAnsi="Times New Roman" w:eastAsia="Times New Roman" w:cs="Times New Roman"/>
                <w:b/>
                <w:bCs/>
                <w:sz w:val="20"/>
                <w:szCs w:val="20"/>
              </w:rPr>
              <w:t>BE</w:t>
            </w:r>
            <w:r>
              <w:rPr>
                <w:rFonts w:ascii="Times New Roman" w:hAnsi="Times New Roman" w:eastAsia="Times New Roman" w:cs="Times New Roman"/>
                <w:b/>
                <w:bCs/>
                <w:spacing w:val="1"/>
                <w:sz w:val="20"/>
                <w:szCs w:val="20"/>
              </w:rPr>
              <w:t xml:space="preserve"> </w:t>
            </w:r>
            <w:r>
              <w:rPr>
                <w:spacing w:val="1"/>
                <w:sz w:val="20"/>
                <w:szCs w:val="20"/>
                <w14:textOutline w14:w="3657" w14:cap="flat" w14:cmpd="sng">
                  <w14:solidFill>
                    <w14:srgbClr w14:val="000000"/>
                  </w14:solidFill>
                  <w14:prstDash w14:val="solid"/>
                  <w14:miter w14:val="10"/>
                </w14:textOutline>
              </w:rPr>
              <w:t>集</w:t>
            </w:r>
          </w:p>
        </w:tc>
        <w:tc>
          <w:tcPr>
            <w:tcW w:w="1205" w:type="dxa"/>
            <w:vAlign w:val="top"/>
          </w:tcPr>
          <w:p>
            <w:pPr>
              <w:spacing w:before="168" w:line="224" w:lineRule="auto"/>
              <w:ind w:left="113"/>
              <w:rPr>
                <w:rFonts w:ascii="Times New Roman" w:hAnsi="Times New Roman" w:eastAsia="Times New Roman" w:cs="Times New Roman"/>
                <w:sz w:val="12"/>
                <w:szCs w:val="12"/>
              </w:rPr>
            </w:pPr>
            <w:r>
              <w:rPr>
                <w:rFonts w:ascii="Times New Roman" w:hAnsi="Times New Roman" w:eastAsia="Times New Roman" w:cs="Times New Roman"/>
                <w:b/>
                <w:bCs/>
                <w:spacing w:val="2"/>
                <w:sz w:val="20"/>
                <w:szCs w:val="20"/>
              </w:rPr>
              <w:t>C</w:t>
            </w:r>
            <w:r>
              <w:rPr>
                <w:rFonts w:ascii="Times New Roman" w:hAnsi="Times New Roman" w:eastAsia="Times New Roman" w:cs="Times New Roman"/>
                <w:b/>
                <w:bCs/>
                <w:spacing w:val="2"/>
                <w:sz w:val="12"/>
                <w:szCs w:val="12"/>
              </w:rPr>
              <w:t>max</w:t>
            </w:r>
          </w:p>
        </w:tc>
        <w:tc>
          <w:tcPr>
            <w:tcW w:w="1204" w:type="dxa"/>
            <w:vAlign w:val="top"/>
          </w:tcPr>
          <w:p>
            <w:pPr>
              <w:rPr>
                <w:rFonts w:ascii="Arial"/>
                <w:sz w:val="21"/>
              </w:rPr>
            </w:pPr>
          </w:p>
        </w:tc>
        <w:tc>
          <w:tcPr>
            <w:tcW w:w="1204" w:type="dxa"/>
            <w:vAlign w:val="top"/>
          </w:tcPr>
          <w:p>
            <w:pPr>
              <w:rPr>
                <w:rFonts w:ascii="Arial"/>
                <w:sz w:val="21"/>
              </w:rPr>
            </w:pPr>
          </w:p>
        </w:tc>
        <w:tc>
          <w:tcPr>
            <w:tcW w:w="1737"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5" w:type="dxa"/>
            <w:vMerge w:val="continue"/>
            <w:tcBorders>
              <w:top w:val="nil"/>
              <w:bottom w:val="nil"/>
            </w:tcBorders>
            <w:vAlign w:val="top"/>
          </w:tcPr>
          <w:p>
            <w:pPr>
              <w:rPr>
                <w:rFonts w:ascii="Arial"/>
                <w:sz w:val="21"/>
              </w:rPr>
            </w:pPr>
          </w:p>
        </w:tc>
        <w:tc>
          <w:tcPr>
            <w:tcW w:w="1205" w:type="dxa"/>
            <w:vAlign w:val="top"/>
          </w:tcPr>
          <w:p>
            <w:pPr>
              <w:spacing w:before="169" w:line="224" w:lineRule="auto"/>
              <w:ind w:left="107"/>
              <w:rPr>
                <w:rFonts w:ascii="Times New Roman" w:hAnsi="Times New Roman" w:eastAsia="Times New Roman" w:cs="Times New Roman"/>
                <w:sz w:val="12"/>
                <w:szCs w:val="12"/>
              </w:rPr>
            </w:pPr>
            <w:r>
              <w:rPr>
                <w:rFonts w:ascii="Times New Roman" w:hAnsi="Times New Roman" w:eastAsia="Times New Roman" w:cs="Times New Roman"/>
                <w:b/>
                <w:bCs/>
                <w:sz w:val="20"/>
                <w:szCs w:val="20"/>
              </w:rPr>
              <w:t>AUC</w:t>
            </w:r>
            <w:r>
              <w:rPr>
                <w:rFonts w:ascii="Times New Roman" w:hAnsi="Times New Roman" w:eastAsia="Times New Roman" w:cs="Times New Roman"/>
                <w:b/>
                <w:bCs/>
                <w:spacing w:val="3"/>
                <w:sz w:val="12"/>
                <w:szCs w:val="12"/>
              </w:rPr>
              <w:t>0-t</w:t>
            </w:r>
          </w:p>
        </w:tc>
        <w:tc>
          <w:tcPr>
            <w:tcW w:w="1204" w:type="dxa"/>
            <w:vAlign w:val="top"/>
          </w:tcPr>
          <w:p>
            <w:pPr>
              <w:rPr>
                <w:rFonts w:ascii="Arial"/>
                <w:sz w:val="21"/>
              </w:rPr>
            </w:pPr>
          </w:p>
        </w:tc>
        <w:tc>
          <w:tcPr>
            <w:tcW w:w="1204" w:type="dxa"/>
            <w:vAlign w:val="top"/>
          </w:tcPr>
          <w:p>
            <w:pPr>
              <w:rPr>
                <w:rFonts w:ascii="Arial"/>
                <w:sz w:val="21"/>
              </w:rPr>
            </w:pPr>
          </w:p>
        </w:tc>
        <w:tc>
          <w:tcPr>
            <w:tcW w:w="1737"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205" w:type="dxa"/>
            <w:vMerge w:val="continue"/>
            <w:tcBorders>
              <w:top w:val="nil"/>
            </w:tcBorders>
            <w:vAlign w:val="top"/>
          </w:tcPr>
          <w:p>
            <w:pPr>
              <w:rPr>
                <w:rFonts w:ascii="Arial"/>
                <w:sz w:val="21"/>
              </w:rPr>
            </w:pPr>
          </w:p>
        </w:tc>
        <w:tc>
          <w:tcPr>
            <w:tcW w:w="1205" w:type="dxa"/>
            <w:vAlign w:val="top"/>
          </w:tcPr>
          <w:p>
            <w:pPr>
              <w:spacing w:before="170" w:line="224" w:lineRule="auto"/>
              <w:ind w:left="107"/>
              <w:rPr>
                <w:rFonts w:ascii="Times New Roman" w:hAnsi="Times New Roman" w:eastAsia="Times New Roman" w:cs="Times New Roman"/>
                <w:sz w:val="12"/>
                <w:szCs w:val="12"/>
              </w:rPr>
            </w:pPr>
            <w:r>
              <w:rPr>
                <w:rFonts w:ascii="Times New Roman" w:hAnsi="Times New Roman" w:eastAsia="Times New Roman" w:cs="Times New Roman"/>
                <w:b/>
                <w:bCs/>
                <w:sz w:val="20"/>
                <w:szCs w:val="20"/>
              </w:rPr>
              <w:t>AUC</w:t>
            </w:r>
            <w:r>
              <w:rPr>
                <w:rFonts w:ascii="Times New Roman" w:hAnsi="Times New Roman" w:eastAsia="Times New Roman" w:cs="Times New Roman"/>
                <w:b/>
                <w:bCs/>
                <w:spacing w:val="4"/>
                <w:sz w:val="12"/>
                <w:szCs w:val="12"/>
              </w:rPr>
              <w:t>0-∞</w:t>
            </w:r>
          </w:p>
        </w:tc>
        <w:tc>
          <w:tcPr>
            <w:tcW w:w="1204" w:type="dxa"/>
            <w:vAlign w:val="top"/>
          </w:tcPr>
          <w:p>
            <w:pPr>
              <w:rPr>
                <w:rFonts w:ascii="Arial"/>
                <w:sz w:val="21"/>
              </w:rPr>
            </w:pPr>
          </w:p>
        </w:tc>
        <w:tc>
          <w:tcPr>
            <w:tcW w:w="1204" w:type="dxa"/>
            <w:vAlign w:val="top"/>
          </w:tcPr>
          <w:p>
            <w:pPr>
              <w:rPr>
                <w:rFonts w:ascii="Arial"/>
                <w:sz w:val="21"/>
              </w:rPr>
            </w:pPr>
          </w:p>
        </w:tc>
        <w:tc>
          <w:tcPr>
            <w:tcW w:w="1737" w:type="dxa"/>
            <w:vAlign w:val="top"/>
          </w:tcPr>
          <w:p>
            <w:pPr>
              <w:rPr>
                <w:rFonts w:ascii="Arial"/>
                <w:sz w:val="21"/>
              </w:rPr>
            </w:pPr>
          </w:p>
        </w:tc>
        <w:tc>
          <w:tcPr>
            <w:tcW w:w="1747" w:type="dxa"/>
            <w:vAlign w:val="top"/>
          </w:tcPr>
          <w:p>
            <w:pPr>
              <w:rPr>
                <w:rFonts w:ascii="Arial"/>
                <w:sz w:val="21"/>
              </w:rPr>
            </w:pPr>
          </w:p>
        </w:tc>
      </w:tr>
    </w:tbl>
    <w:p>
      <w:pPr>
        <w:pStyle w:val="2"/>
        <w:spacing w:before="114" w:line="220" w:lineRule="auto"/>
        <w:ind w:left="31"/>
        <w:outlineLvl w:val="0"/>
      </w:pPr>
      <w:r>
        <w:rPr>
          <w:rFonts w:ascii="Times New Roman" w:hAnsi="Times New Roman" w:eastAsia="Times New Roman" w:cs="Times New Roman"/>
          <w:b/>
          <w:bCs/>
          <w:spacing w:val="-3"/>
        </w:rPr>
        <w:t>11.</w:t>
      </w:r>
      <w:r>
        <w:rPr>
          <w:spacing w:val="-3"/>
          <w14:textOutline w14:w="4354" w14:cap="flat" w14:cmpd="sng">
            <w14:solidFill>
              <w14:srgbClr w14:val="000000"/>
            </w14:solidFill>
            <w14:prstDash w14:val="solid"/>
            <w14:miter w14:val="10"/>
          </w14:textOutline>
        </w:rPr>
        <w:t>药代动力学结果</w:t>
      </w:r>
    </w:p>
    <w:p>
      <w:pPr>
        <w:pStyle w:val="2"/>
        <w:spacing w:before="180" w:line="384" w:lineRule="auto"/>
        <w:ind w:left="32" w:firstLine="475"/>
        <w:jc w:val="both"/>
      </w:pPr>
      <w:r>
        <w:rPr>
          <w:spacing w:val="-2"/>
        </w:rPr>
        <w:t>说明</w:t>
      </w:r>
      <w:r>
        <w:rPr>
          <w:spacing w:val="-58"/>
        </w:rPr>
        <w:t xml:space="preserve"> </w:t>
      </w:r>
      <w:r>
        <w:rPr>
          <w:rFonts w:ascii="Times New Roman" w:hAnsi="Times New Roman" w:eastAsia="Times New Roman" w:cs="Times New Roman"/>
          <w:spacing w:val="-2"/>
        </w:rPr>
        <w:t xml:space="preserve">PK </w:t>
      </w:r>
      <w:r>
        <w:rPr>
          <w:spacing w:val="-2"/>
        </w:rPr>
        <w:t xml:space="preserve">参数计算方法和所使用的软件及版本号。以表格形式列出受试者给 </w:t>
      </w:r>
      <w:r>
        <w:rPr>
          <w:spacing w:val="-1"/>
        </w:rPr>
        <w:t>予受试制剂和参比制剂后的主要药代动力学参</w:t>
      </w:r>
      <w:r>
        <w:rPr>
          <w:spacing w:val="-2"/>
        </w:rPr>
        <w:t>数（包括</w:t>
      </w:r>
      <w:r>
        <w:rPr>
          <w:spacing w:val="-39"/>
        </w:rPr>
        <w:t xml:space="preserve"> </w:t>
      </w:r>
      <w:r>
        <w:rPr>
          <w:rFonts w:ascii="Times New Roman" w:hAnsi="Times New Roman" w:eastAsia="Times New Roman" w:cs="Times New Roman"/>
          <w:spacing w:val="-2"/>
        </w:rPr>
        <w:t>C</w:t>
      </w:r>
      <w:r>
        <w:rPr>
          <w:rFonts w:ascii="Times New Roman" w:hAnsi="Times New Roman" w:eastAsia="Times New Roman" w:cs="Times New Roman"/>
          <w:spacing w:val="-2"/>
          <w:position w:val="-1"/>
          <w:sz w:val="15"/>
          <w:szCs w:val="15"/>
        </w:rPr>
        <w:t>max</w:t>
      </w:r>
      <w:r>
        <w:rPr>
          <w:rFonts w:ascii="Times New Roman" w:hAnsi="Times New Roman" w:eastAsia="Times New Roman" w:cs="Times New Roman"/>
          <w:spacing w:val="-14"/>
          <w:position w:val="-1"/>
          <w:sz w:val="15"/>
          <w:szCs w:val="15"/>
        </w:rPr>
        <w:t xml:space="preserve"> </w:t>
      </w:r>
      <w:r>
        <w:rPr>
          <w:spacing w:val="-2"/>
        </w:rPr>
        <w:t>、</w:t>
      </w:r>
      <w:r>
        <w:rPr>
          <w:rFonts w:ascii="Times New Roman" w:hAnsi="Times New Roman" w:eastAsia="Times New Roman" w:cs="Times New Roman"/>
          <w:spacing w:val="-2"/>
        </w:rPr>
        <w:t>AUC</w:t>
      </w:r>
      <w:r>
        <w:rPr>
          <w:rFonts w:ascii="Times New Roman" w:hAnsi="Times New Roman" w:eastAsia="Times New Roman" w:cs="Times New Roman"/>
          <w:spacing w:val="-2"/>
          <w:position w:val="-1"/>
          <w:sz w:val="15"/>
          <w:szCs w:val="15"/>
        </w:rPr>
        <w:t>0-t</w:t>
      </w:r>
      <w:r>
        <w:rPr>
          <w:rFonts w:ascii="Times New Roman" w:hAnsi="Times New Roman" w:eastAsia="Times New Roman" w:cs="Times New Roman"/>
          <w:spacing w:val="-12"/>
          <w:position w:val="-1"/>
          <w:sz w:val="15"/>
          <w:szCs w:val="15"/>
        </w:rPr>
        <w:t xml:space="preserve"> </w:t>
      </w:r>
      <w:r>
        <w:rPr>
          <w:spacing w:val="-2"/>
        </w:rPr>
        <w:t>、</w:t>
      </w:r>
      <w:r>
        <w:rPr>
          <w:rFonts w:ascii="Times New Roman" w:hAnsi="Times New Roman" w:eastAsia="Times New Roman" w:cs="Times New Roman"/>
          <w:spacing w:val="-2"/>
        </w:rPr>
        <w:t>AUC</w:t>
      </w:r>
      <w:r>
        <w:rPr>
          <w:rFonts w:ascii="Times New Roman" w:hAnsi="Times New Roman" w:eastAsia="Times New Roman" w:cs="Times New Roman"/>
          <w:spacing w:val="-2"/>
          <w:position w:val="-1"/>
          <w:sz w:val="15"/>
          <w:szCs w:val="15"/>
        </w:rPr>
        <w:t>0-∞</w:t>
      </w:r>
      <w:r>
        <w:rPr>
          <w:spacing w:val="-2"/>
        </w:rPr>
        <w:t>、</w:t>
      </w:r>
    </w:p>
    <w:p>
      <w:pPr>
        <w:pStyle w:val="2"/>
        <w:spacing w:line="221" w:lineRule="auto"/>
        <w:ind w:left="17"/>
      </w:pPr>
      <w:r>
        <w:rPr>
          <w:rFonts w:ascii="Times New Roman" w:hAnsi="Times New Roman" w:eastAsia="Times New Roman" w:cs="Times New Roman"/>
          <w:spacing w:val="-2"/>
        </w:rPr>
        <w:t>AUC</w:t>
      </w:r>
      <w:r>
        <w:rPr>
          <w:rFonts w:ascii="Times New Roman" w:hAnsi="Times New Roman" w:eastAsia="Times New Roman" w:cs="Times New Roman"/>
          <w:spacing w:val="-2"/>
          <w:position w:val="-1"/>
          <w:sz w:val="15"/>
          <w:szCs w:val="15"/>
        </w:rPr>
        <w:t>_%Extrap</w:t>
      </w:r>
      <w:r>
        <w:rPr>
          <w:rFonts w:ascii="Times New Roman" w:hAnsi="Times New Roman" w:eastAsia="Times New Roman" w:cs="Times New Roman"/>
          <w:spacing w:val="-13"/>
          <w:position w:val="-1"/>
          <w:sz w:val="15"/>
          <w:szCs w:val="15"/>
        </w:rPr>
        <w:t xml:space="preserve"> </w:t>
      </w:r>
      <w:r>
        <w:rPr>
          <w:spacing w:val="-2"/>
        </w:rPr>
        <w:t>、</w:t>
      </w:r>
      <w:r>
        <w:rPr>
          <w:rFonts w:ascii="Times New Roman" w:hAnsi="Times New Roman" w:eastAsia="Times New Roman" w:cs="Times New Roman"/>
          <w:spacing w:val="-2"/>
        </w:rPr>
        <w:t>T</w:t>
      </w:r>
      <w:r>
        <w:rPr>
          <w:rFonts w:ascii="Times New Roman" w:hAnsi="Times New Roman" w:eastAsia="Times New Roman" w:cs="Times New Roman"/>
          <w:spacing w:val="-2"/>
          <w:position w:val="-1"/>
          <w:sz w:val="15"/>
          <w:szCs w:val="15"/>
        </w:rPr>
        <w:t>max</w:t>
      </w:r>
      <w:r>
        <w:rPr>
          <w:rFonts w:ascii="Times New Roman" w:hAnsi="Times New Roman" w:eastAsia="Times New Roman" w:cs="Times New Roman"/>
          <w:spacing w:val="-14"/>
          <w:position w:val="-1"/>
          <w:sz w:val="15"/>
          <w:szCs w:val="15"/>
        </w:rPr>
        <w:t xml:space="preserve"> </w:t>
      </w:r>
      <w:r>
        <w:rPr>
          <w:spacing w:val="-2"/>
        </w:rPr>
        <w:t>、</w:t>
      </w:r>
      <w:r>
        <w:rPr>
          <w:rFonts w:ascii="Times New Roman" w:hAnsi="Times New Roman" w:eastAsia="Times New Roman" w:cs="Times New Roman"/>
          <w:spacing w:val="-2"/>
        </w:rPr>
        <w:t>t</w:t>
      </w:r>
      <w:r>
        <w:rPr>
          <w:rFonts w:ascii="Times New Roman" w:hAnsi="Times New Roman" w:eastAsia="Times New Roman" w:cs="Times New Roman"/>
          <w:spacing w:val="-2"/>
          <w:position w:val="-1"/>
          <w:sz w:val="15"/>
          <w:szCs w:val="15"/>
        </w:rPr>
        <w:t>1/2</w:t>
      </w:r>
      <w:r>
        <w:rPr>
          <w:rFonts w:ascii="Times New Roman" w:hAnsi="Times New Roman" w:eastAsia="Times New Roman" w:cs="Times New Roman"/>
          <w:spacing w:val="-8"/>
          <w:position w:val="-1"/>
          <w:sz w:val="15"/>
          <w:szCs w:val="15"/>
        </w:rPr>
        <w:t xml:space="preserve"> </w:t>
      </w:r>
      <w:r>
        <w:rPr>
          <w:spacing w:val="-2"/>
        </w:rPr>
        <w:t>、</w:t>
      </w:r>
      <w:r>
        <w:rPr>
          <w:rFonts w:ascii="Times New Roman" w:hAnsi="Times New Roman" w:eastAsia="Times New Roman" w:cs="Times New Roman"/>
          <w:spacing w:val="-2"/>
        </w:rPr>
        <w:t>Vd</w:t>
      </w:r>
      <w:r>
        <w:rPr>
          <w:spacing w:val="-2"/>
        </w:rPr>
        <w:t>、</w:t>
      </w:r>
      <w:r>
        <w:rPr>
          <w:rFonts w:ascii="Times New Roman" w:hAnsi="Times New Roman" w:eastAsia="Times New Roman" w:cs="Times New Roman"/>
          <w:spacing w:val="-2"/>
        </w:rPr>
        <w:t>CL</w:t>
      </w:r>
      <w:r>
        <w:rPr>
          <w:spacing w:val="-2"/>
        </w:rPr>
        <w:t>、</w:t>
      </w:r>
      <w:r>
        <w:rPr>
          <w:rFonts w:ascii="Times New Roman" w:hAnsi="Times New Roman" w:eastAsia="Times New Roman" w:cs="Times New Roman"/>
          <w:spacing w:val="-2"/>
        </w:rPr>
        <w:t>λz</w:t>
      </w:r>
      <w:r>
        <w:rPr>
          <w:rFonts w:ascii="Times New Roman" w:hAnsi="Times New Roman" w:eastAsia="Times New Roman" w:cs="Times New Roman"/>
          <w:spacing w:val="-28"/>
        </w:rPr>
        <w:t xml:space="preserve"> </w:t>
      </w:r>
      <w:r>
        <w:rPr>
          <w:rFonts w:ascii="等线" w:hAnsi="等线" w:eastAsia="等线" w:cs="等线"/>
          <w:spacing w:val="-2"/>
        </w:rPr>
        <w:t>、</w:t>
      </w:r>
      <w:r>
        <w:rPr>
          <w:rFonts w:ascii="Times New Roman" w:hAnsi="Times New Roman" w:eastAsia="Times New Roman" w:cs="Times New Roman"/>
          <w:spacing w:val="-2"/>
        </w:rPr>
        <w:t xml:space="preserve">F </w:t>
      </w:r>
      <w:r>
        <w:rPr>
          <w:spacing w:val="-2"/>
        </w:rPr>
        <w:t>等</w:t>
      </w:r>
      <w:r>
        <w:rPr>
          <w:spacing w:val="-43"/>
        </w:rPr>
        <w:t>），</w:t>
      </w:r>
      <w:r>
        <w:rPr>
          <w:spacing w:val="-32"/>
        </w:rPr>
        <w:t xml:space="preserve"> </w:t>
      </w:r>
      <w:r>
        <w:rPr>
          <w:spacing w:val="-2"/>
        </w:rPr>
        <w:t>报告其均值、标准差等</w:t>
      </w:r>
      <w:r>
        <w:rPr>
          <w:spacing w:val="-3"/>
        </w:rPr>
        <w:t>，并附平</w:t>
      </w:r>
    </w:p>
    <w:p>
      <w:pPr>
        <w:pStyle w:val="2"/>
        <w:spacing w:before="250" w:line="220" w:lineRule="auto"/>
        <w:ind w:left="25"/>
      </w:pPr>
      <w:r>
        <w:rPr>
          <w:spacing w:val="-2"/>
        </w:rPr>
        <w:t>均血药浓度</w:t>
      </w:r>
      <w:r>
        <w:rPr>
          <w:rFonts w:ascii="Times New Roman" w:hAnsi="Times New Roman" w:eastAsia="Times New Roman" w:cs="Times New Roman"/>
          <w:spacing w:val="-2"/>
        </w:rPr>
        <w:t>-</w:t>
      </w:r>
      <w:r>
        <w:rPr>
          <w:spacing w:val="-2"/>
        </w:rPr>
        <w:t>时间曲线、半对数曲线。空腹和餐后试验分别列出。</w:t>
      </w:r>
    </w:p>
    <w:p>
      <w:pPr>
        <w:pStyle w:val="2"/>
        <w:spacing w:before="185" w:line="220" w:lineRule="auto"/>
        <w:ind w:left="31"/>
        <w:outlineLvl w:val="0"/>
      </w:pPr>
      <w:r>
        <w:rPr>
          <w:rFonts w:ascii="Times New Roman" w:hAnsi="Times New Roman" w:eastAsia="Times New Roman" w:cs="Times New Roman"/>
          <w:b/>
          <w:bCs/>
          <w:spacing w:val="-1"/>
        </w:rPr>
        <w:t>12.</w:t>
      </w:r>
      <w:r>
        <w:rPr>
          <w:spacing w:val="-1"/>
          <w14:textOutline w14:w="4354" w14:cap="flat" w14:cmpd="sng">
            <w14:solidFill>
              <w14:srgbClr w14:val="000000"/>
            </w14:solidFill>
            <w14:prstDash w14:val="solid"/>
            <w14:miter w14:val="10"/>
          </w14:textOutline>
        </w:rPr>
        <w:t>生物等效性结果</w:t>
      </w:r>
    </w:p>
    <w:p>
      <w:pPr>
        <w:pStyle w:val="2"/>
        <w:spacing w:before="183" w:line="360" w:lineRule="auto"/>
        <w:ind w:left="23" w:right="2" w:firstLine="483"/>
        <w:jc w:val="both"/>
      </w:pPr>
      <w:r>
        <w:rPr>
          <w:spacing w:val="-4"/>
        </w:rPr>
        <w:t xml:space="preserve">说明生物等效性统计分析所使用的软件及版本号。说明生物等效性评价方法 </w:t>
      </w:r>
      <w:r>
        <w:rPr>
          <w:spacing w:val="-5"/>
        </w:rPr>
        <w:t>（</w:t>
      </w:r>
      <w:r>
        <w:rPr>
          <w:rFonts w:ascii="Times New Roman" w:hAnsi="Times New Roman" w:eastAsia="Times New Roman" w:cs="Times New Roman"/>
          <w:spacing w:val="-5"/>
        </w:rPr>
        <w:t>ABE</w:t>
      </w:r>
      <w:r>
        <w:rPr>
          <w:rFonts w:ascii="Times New Roman" w:hAnsi="Times New Roman" w:eastAsia="Times New Roman" w:cs="Times New Roman"/>
          <w:spacing w:val="28"/>
        </w:rPr>
        <w:t xml:space="preserve"> </w:t>
      </w:r>
      <w:r>
        <w:rPr>
          <w:spacing w:val="-5"/>
        </w:rPr>
        <w:t>或</w:t>
      </w:r>
      <w:r>
        <w:rPr>
          <w:spacing w:val="-58"/>
        </w:rPr>
        <w:t xml:space="preserve"> </w:t>
      </w:r>
      <w:r>
        <w:rPr>
          <w:rFonts w:ascii="Times New Roman" w:hAnsi="Times New Roman" w:eastAsia="Times New Roman" w:cs="Times New Roman"/>
          <w:spacing w:val="-5"/>
        </w:rPr>
        <w:t xml:space="preserve">RSABE </w:t>
      </w:r>
      <w:r>
        <w:rPr>
          <w:spacing w:val="-5"/>
        </w:rPr>
        <w:t>方法）</w:t>
      </w:r>
      <w:r>
        <w:rPr>
          <w:spacing w:val="-68"/>
        </w:rPr>
        <w:t xml:space="preserve"> </w:t>
      </w:r>
      <w:r>
        <w:rPr>
          <w:spacing w:val="-5"/>
        </w:rPr>
        <w:t xml:space="preserve">及预设等效性标准。以表格形式分别列出空腹和餐后试 </w:t>
      </w:r>
      <w:r>
        <w:rPr>
          <w:spacing w:val="-4"/>
        </w:rPr>
        <w:t>验主要</w:t>
      </w:r>
      <w:r>
        <w:rPr>
          <w:spacing w:val="-21"/>
        </w:rPr>
        <w:t xml:space="preserve"> </w:t>
      </w:r>
      <w:r>
        <w:rPr>
          <w:rFonts w:ascii="Times New Roman" w:hAnsi="Times New Roman" w:eastAsia="Times New Roman" w:cs="Times New Roman"/>
          <w:spacing w:val="-4"/>
        </w:rPr>
        <w:t>PK</w:t>
      </w:r>
      <w:r>
        <w:rPr>
          <w:rFonts w:ascii="Times New Roman" w:hAnsi="Times New Roman" w:eastAsia="Times New Roman" w:cs="Times New Roman"/>
          <w:spacing w:val="36"/>
        </w:rPr>
        <w:t xml:space="preserve"> </w:t>
      </w:r>
      <w:r>
        <w:rPr>
          <w:spacing w:val="-4"/>
        </w:rPr>
        <w:t>参数（</w:t>
      </w:r>
      <w:r>
        <w:rPr>
          <w:rFonts w:ascii="Times New Roman" w:hAnsi="Times New Roman" w:eastAsia="Times New Roman" w:cs="Times New Roman"/>
          <w:spacing w:val="-4"/>
        </w:rPr>
        <w:t>AUC</w:t>
      </w:r>
      <w:r>
        <w:rPr>
          <w:rFonts w:ascii="Times New Roman" w:hAnsi="Times New Roman" w:eastAsia="Times New Roman" w:cs="Times New Roman"/>
          <w:spacing w:val="-4"/>
          <w:position w:val="-1"/>
          <w:sz w:val="15"/>
          <w:szCs w:val="15"/>
        </w:rPr>
        <w:t>0-t</w:t>
      </w:r>
      <w:r>
        <w:rPr>
          <w:rFonts w:ascii="Times New Roman" w:hAnsi="Times New Roman" w:eastAsia="Times New Roman" w:cs="Times New Roman"/>
          <w:spacing w:val="-13"/>
          <w:position w:val="-1"/>
          <w:sz w:val="15"/>
          <w:szCs w:val="15"/>
        </w:rPr>
        <w:t xml:space="preserve"> </w:t>
      </w:r>
      <w:r>
        <w:rPr>
          <w:spacing w:val="-4"/>
        </w:rPr>
        <w:t>、</w:t>
      </w:r>
      <w:r>
        <w:rPr>
          <w:rFonts w:ascii="Times New Roman" w:hAnsi="Times New Roman" w:eastAsia="Times New Roman" w:cs="Times New Roman"/>
          <w:spacing w:val="-4"/>
        </w:rPr>
        <w:t>AUC</w:t>
      </w:r>
      <w:r>
        <w:rPr>
          <w:rFonts w:ascii="Times New Roman" w:hAnsi="Times New Roman" w:eastAsia="Times New Roman" w:cs="Times New Roman"/>
          <w:spacing w:val="-4"/>
          <w:position w:val="-1"/>
          <w:sz w:val="15"/>
          <w:szCs w:val="15"/>
        </w:rPr>
        <w:t>0-∞</w:t>
      </w:r>
      <w:r>
        <w:rPr>
          <w:rFonts w:ascii="Times New Roman" w:hAnsi="Times New Roman" w:eastAsia="Times New Roman" w:cs="Times New Roman"/>
          <w:spacing w:val="-9"/>
          <w:position w:val="-1"/>
          <w:sz w:val="15"/>
          <w:szCs w:val="15"/>
        </w:rPr>
        <w:t xml:space="preserve"> </w:t>
      </w:r>
      <w:r>
        <w:rPr>
          <w:spacing w:val="-4"/>
        </w:rPr>
        <w:t>、</w:t>
      </w:r>
      <w:r>
        <w:rPr>
          <w:rFonts w:ascii="Times New Roman" w:hAnsi="Times New Roman" w:eastAsia="Times New Roman" w:cs="Times New Roman"/>
          <w:spacing w:val="-4"/>
        </w:rPr>
        <w:t>C</w:t>
      </w:r>
      <w:r>
        <w:rPr>
          <w:rFonts w:ascii="Times New Roman" w:hAnsi="Times New Roman" w:eastAsia="Times New Roman" w:cs="Times New Roman"/>
          <w:spacing w:val="-4"/>
          <w:position w:val="-1"/>
          <w:sz w:val="15"/>
          <w:szCs w:val="15"/>
        </w:rPr>
        <w:t>max</w:t>
      </w:r>
      <w:r>
        <w:rPr>
          <w:rFonts w:ascii="Times New Roman" w:hAnsi="Times New Roman" w:eastAsia="Times New Roman" w:cs="Times New Roman"/>
          <w:spacing w:val="34"/>
          <w:w w:val="101"/>
          <w:position w:val="-1"/>
          <w:sz w:val="15"/>
          <w:szCs w:val="15"/>
        </w:rPr>
        <w:t xml:space="preserve"> </w:t>
      </w:r>
      <w:r>
        <w:rPr>
          <w:spacing w:val="-4"/>
        </w:rPr>
        <w:t>等）</w:t>
      </w:r>
      <w:r>
        <w:rPr>
          <w:spacing w:val="-24"/>
        </w:rPr>
        <w:t xml:space="preserve"> </w:t>
      </w:r>
      <w:r>
        <w:rPr>
          <w:spacing w:val="-4"/>
        </w:rPr>
        <w:t>的受试制剂和参比制剂几何均值、</w:t>
      </w:r>
      <w:r>
        <w:t xml:space="preserve"> </w:t>
      </w:r>
      <w:r>
        <w:rPr>
          <w:spacing w:val="-2"/>
        </w:rPr>
        <w:t>受试制剂</w:t>
      </w:r>
      <w:r>
        <w:rPr>
          <w:rFonts w:ascii="Times New Roman" w:hAnsi="Times New Roman" w:eastAsia="Times New Roman" w:cs="Times New Roman"/>
          <w:spacing w:val="-2"/>
        </w:rPr>
        <w:t>/</w:t>
      </w:r>
      <w:r>
        <w:rPr>
          <w:spacing w:val="-2"/>
        </w:rPr>
        <w:t xml:space="preserve">参比制剂几何均值比值及其 </w:t>
      </w:r>
      <w:r>
        <w:rPr>
          <w:rFonts w:ascii="Times New Roman" w:hAnsi="Times New Roman" w:eastAsia="Times New Roman" w:cs="Times New Roman"/>
          <w:spacing w:val="-2"/>
        </w:rPr>
        <w:t>90%</w:t>
      </w:r>
      <w:r>
        <w:rPr>
          <w:spacing w:val="-2"/>
        </w:rPr>
        <w:t xml:space="preserve">置信区间或相应 </w:t>
      </w:r>
      <w:r>
        <w:rPr>
          <w:rFonts w:ascii="Times New Roman" w:hAnsi="Times New Roman" w:eastAsia="Times New Roman" w:cs="Times New Roman"/>
          <w:spacing w:val="-2"/>
        </w:rPr>
        <w:t>BE</w:t>
      </w:r>
      <w:r>
        <w:rPr>
          <w:rFonts w:ascii="Times New Roman" w:hAnsi="Times New Roman" w:eastAsia="Times New Roman" w:cs="Times New Roman"/>
          <w:spacing w:val="46"/>
        </w:rPr>
        <w:t xml:space="preserve"> </w:t>
      </w:r>
      <w:r>
        <w:rPr>
          <w:spacing w:val="-2"/>
        </w:rPr>
        <w:t xml:space="preserve">评价指标结果等 </w:t>
      </w:r>
      <w:r>
        <w:rPr>
          <w:spacing w:val="-6"/>
        </w:rPr>
        <w:t>信息。同时列出方差分析结果、</w:t>
      </w:r>
      <w:r>
        <w:rPr>
          <w:rFonts w:ascii="Times New Roman" w:hAnsi="Times New Roman" w:eastAsia="Times New Roman" w:cs="Times New Roman"/>
          <w:spacing w:val="-6"/>
        </w:rPr>
        <w:t>T</w:t>
      </w:r>
      <w:r>
        <w:rPr>
          <w:rFonts w:ascii="Times New Roman" w:hAnsi="Times New Roman" w:eastAsia="Times New Roman" w:cs="Times New Roman"/>
          <w:spacing w:val="-6"/>
          <w:position w:val="-1"/>
          <w:sz w:val="15"/>
          <w:szCs w:val="15"/>
        </w:rPr>
        <w:t xml:space="preserve">max </w:t>
      </w:r>
      <w:r>
        <w:rPr>
          <w:spacing w:val="-6"/>
        </w:rPr>
        <w:t>检验结果。如有受试者数据剔除或缺失，</w:t>
      </w:r>
      <w:r>
        <w:rPr>
          <w:spacing w:val="51"/>
        </w:rPr>
        <w:t xml:space="preserve"> </w:t>
      </w:r>
      <w:r>
        <w:rPr>
          <w:spacing w:val="-6"/>
        </w:rPr>
        <w:t>应</w:t>
      </w:r>
    </w:p>
    <w:p>
      <w:pPr>
        <w:pStyle w:val="2"/>
        <w:spacing w:line="218" w:lineRule="auto"/>
        <w:ind w:left="27"/>
      </w:pPr>
      <w:r>
        <w:rPr>
          <w:spacing w:val="-3"/>
        </w:rPr>
        <w:t>充分评估对生物等效性结论稳健性的影响。</w:t>
      </w:r>
    </w:p>
    <w:p>
      <w:pPr>
        <w:pStyle w:val="2"/>
        <w:spacing w:before="182" w:line="220" w:lineRule="auto"/>
        <w:ind w:left="31"/>
        <w:outlineLvl w:val="0"/>
      </w:pPr>
      <w:r>
        <w:rPr>
          <w:rFonts w:ascii="Times New Roman" w:hAnsi="Times New Roman" w:eastAsia="Times New Roman" w:cs="Times New Roman"/>
          <w:b/>
          <w:bCs/>
          <w:spacing w:val="-1"/>
        </w:rPr>
        <w:t>13.</w:t>
      </w:r>
      <w:r>
        <w:rPr>
          <w:spacing w:val="-1"/>
          <w14:textOutline w14:w="4354" w14:cap="flat" w14:cmpd="sng">
            <w14:solidFill>
              <w14:srgbClr w14:val="000000"/>
            </w14:solidFill>
            <w14:prstDash w14:val="solid"/>
            <w14:miter w14:val="10"/>
          </w14:textOutline>
        </w:rPr>
        <w:t>不良事件和不良反应</w:t>
      </w:r>
    </w:p>
    <w:p>
      <w:pPr>
        <w:spacing w:line="259" w:lineRule="auto"/>
        <w:rPr>
          <w:rFonts w:ascii="Arial"/>
          <w:sz w:val="21"/>
        </w:rPr>
      </w:pPr>
    </w:p>
    <w:p>
      <w:pPr>
        <w:pStyle w:val="2"/>
        <w:spacing w:before="79" w:line="360" w:lineRule="auto"/>
        <w:ind w:left="23" w:right="88" w:firstLine="485"/>
        <w:jc w:val="both"/>
      </w:pPr>
      <w:r>
        <w:rPr>
          <w:spacing w:val="-6"/>
        </w:rPr>
        <w:t>简述受试制剂和参比制剂不良事件和不良反应发生情况，</w:t>
      </w:r>
      <w:r>
        <w:rPr>
          <w:spacing w:val="-34"/>
        </w:rPr>
        <w:t xml:space="preserve"> </w:t>
      </w:r>
      <w:r>
        <w:rPr>
          <w:spacing w:val="-6"/>
        </w:rPr>
        <w:t>评估两制剂不良事</w:t>
      </w:r>
      <w:r>
        <w:t xml:space="preserve"> </w:t>
      </w:r>
      <w:r>
        <w:rPr>
          <w:spacing w:val="-6"/>
        </w:rPr>
        <w:t>件和不良反应发生率及严重程度是否相当，</w:t>
      </w:r>
      <w:r>
        <w:rPr>
          <w:spacing w:val="-16"/>
        </w:rPr>
        <w:t xml:space="preserve"> </w:t>
      </w:r>
      <w:r>
        <w:rPr>
          <w:spacing w:val="-6"/>
        </w:rPr>
        <w:t>分析受试制剂不良事件是否超出参比</w:t>
      </w:r>
    </w:p>
    <w:p>
      <w:pPr>
        <w:pStyle w:val="2"/>
        <w:spacing w:before="1" w:line="218" w:lineRule="auto"/>
        <w:ind w:left="25"/>
      </w:pPr>
      <w:r>
        <w:rPr>
          <w:spacing w:val="-2"/>
        </w:rPr>
        <w:t>制剂说明书的描述范围。对于严重不良事件，说明相关情况。</w:t>
      </w:r>
    </w:p>
    <w:p>
      <w:pPr>
        <w:pStyle w:val="2"/>
        <w:spacing w:before="185" w:line="220" w:lineRule="auto"/>
        <w:ind w:left="31"/>
        <w:outlineLvl w:val="0"/>
      </w:pPr>
      <w:r>
        <w:rPr>
          <w:rFonts w:ascii="Times New Roman" w:hAnsi="Times New Roman" w:eastAsia="Times New Roman" w:cs="Times New Roman"/>
          <w:b/>
          <w:bCs/>
          <w:spacing w:val="-2"/>
        </w:rPr>
        <w:t>14.</w:t>
      </w:r>
      <w:r>
        <w:rPr>
          <w:spacing w:val="-2"/>
          <w14:textOutline w14:w="4354" w14:cap="flat" w14:cmpd="sng">
            <w14:solidFill>
              <w14:srgbClr w14:val="000000"/>
            </w14:solidFill>
            <w14:prstDash w14:val="solid"/>
            <w14:miter w14:val="10"/>
          </w14:textOutline>
        </w:rPr>
        <w:t>合并用药</w:t>
      </w:r>
    </w:p>
    <w:p>
      <w:pPr>
        <w:spacing w:line="254" w:lineRule="auto"/>
        <w:rPr>
          <w:rFonts w:ascii="Arial"/>
          <w:sz w:val="21"/>
        </w:rPr>
      </w:pPr>
    </w:p>
    <w:p>
      <w:pPr>
        <w:pStyle w:val="2"/>
        <w:spacing w:before="79" w:line="362" w:lineRule="auto"/>
        <w:ind w:left="23" w:right="85" w:firstLine="485"/>
        <w:jc w:val="both"/>
      </w:pPr>
      <w:r>
        <w:rPr>
          <w:spacing w:val="2"/>
        </w:rPr>
        <w:t>简述研究期间的合并用药</w:t>
      </w:r>
      <w:r>
        <w:rPr>
          <w:rFonts w:ascii="Times New Roman" w:hAnsi="Times New Roman" w:eastAsia="Times New Roman" w:cs="Times New Roman"/>
          <w:spacing w:val="2"/>
        </w:rPr>
        <w:t>/</w:t>
      </w:r>
      <w:r>
        <w:rPr>
          <w:spacing w:val="2"/>
        </w:rPr>
        <w:t>治疗情况，包括受试者编号、用药原因、药物名</w:t>
      </w:r>
      <w:r>
        <w:t xml:space="preserve"> </w:t>
      </w:r>
      <w:r>
        <w:rPr>
          <w:spacing w:val="-6"/>
        </w:rPr>
        <w:t>称、用药时间（与研究药物给药的时间关系） 等。合理评</w:t>
      </w:r>
      <w:r>
        <w:rPr>
          <w:spacing w:val="-7"/>
        </w:rPr>
        <w:t>估合并用药对试验药物</w:t>
      </w:r>
    </w:p>
    <w:p>
      <w:pPr>
        <w:pStyle w:val="2"/>
        <w:spacing w:line="219" w:lineRule="auto"/>
        <w:ind w:left="27"/>
      </w:pPr>
      <w:r>
        <w:rPr>
          <w:spacing w:val="-3"/>
        </w:rPr>
        <w:t>药代动力学特征以及生物等效性结论的影响。</w:t>
      </w:r>
    </w:p>
    <w:p>
      <w:pPr>
        <w:pStyle w:val="2"/>
        <w:spacing w:before="180" w:line="220" w:lineRule="auto"/>
        <w:ind w:left="31"/>
        <w:outlineLvl w:val="0"/>
      </w:pPr>
      <w:r>
        <w:rPr>
          <w:rFonts w:ascii="Times New Roman" w:hAnsi="Times New Roman" w:eastAsia="Times New Roman" w:cs="Times New Roman"/>
          <w:b/>
          <w:bCs/>
          <w:spacing w:val="-2"/>
        </w:rPr>
        <w:t>15.</w:t>
      </w:r>
      <w:r>
        <w:rPr>
          <w:spacing w:val="-2"/>
          <w14:textOutline w14:w="4354" w14:cap="flat" w14:cmpd="sng">
            <w14:solidFill>
              <w14:srgbClr w14:val="000000"/>
            </w14:solidFill>
            <w14:prstDash w14:val="solid"/>
            <w14:miter w14:val="10"/>
          </w14:textOutline>
        </w:rPr>
        <w:t>方案偏离</w:t>
      </w:r>
    </w:p>
    <w:p>
      <w:pPr>
        <w:pStyle w:val="2"/>
        <w:spacing w:before="185" w:line="219" w:lineRule="auto"/>
        <w:ind w:left="509"/>
      </w:pPr>
      <w:r>
        <w:rPr>
          <w:spacing w:val="-7"/>
        </w:rPr>
        <w:t>简述整个临床研究过程中出现的偏离方案的情况， 包括采血时间超窗、样品</w:t>
      </w:r>
    </w:p>
    <w:p>
      <w:pPr>
        <w:spacing w:line="219" w:lineRule="auto"/>
        <w:sectPr>
          <w:pgSz w:w="11905" w:h="16839"/>
          <w:pgMar w:top="1431" w:right="1710" w:bottom="0" w:left="1785" w:header="0" w:footer="0" w:gutter="0"/>
          <w:cols w:space="720" w:num="1"/>
        </w:sectPr>
      </w:pPr>
    </w:p>
    <w:p>
      <w:pPr>
        <w:pStyle w:val="2"/>
        <w:spacing w:before="124" w:line="466" w:lineRule="exact"/>
      </w:pPr>
      <w:bookmarkStart w:id="0" w:name="_GoBack"/>
      <w:bookmarkEnd w:id="0"/>
      <w:r>
        <w:rPr>
          <w:spacing w:val="-3"/>
          <w:position w:val="17"/>
        </w:rPr>
        <w:t>处理偏离方案要求、访视检查时间超窗、缺失分析数据、受试者</w:t>
      </w:r>
      <w:r>
        <w:rPr>
          <w:spacing w:val="-4"/>
          <w:position w:val="17"/>
        </w:rPr>
        <w:t>管理等。评价偏</w:t>
      </w:r>
    </w:p>
    <w:p>
      <w:pPr>
        <w:pStyle w:val="2"/>
        <w:spacing w:line="219" w:lineRule="auto"/>
        <w:ind w:left="28"/>
      </w:pPr>
      <w:r>
        <w:rPr>
          <w:spacing w:val="-3"/>
        </w:rPr>
        <w:t>离对于受试者安全和生物等效性结论的影响。</w:t>
      </w:r>
    </w:p>
    <w:p>
      <w:pPr>
        <w:pStyle w:val="2"/>
        <w:spacing w:before="185" w:line="219" w:lineRule="auto"/>
        <w:ind w:left="31"/>
        <w:outlineLvl w:val="0"/>
      </w:pPr>
      <w:r>
        <w:rPr>
          <w:rFonts w:ascii="Times New Roman" w:hAnsi="Times New Roman" w:eastAsia="Times New Roman" w:cs="Times New Roman"/>
          <w:b/>
          <w:bCs/>
          <w:spacing w:val="-2"/>
        </w:rPr>
        <w:t>16.</w:t>
      </w:r>
      <w:r>
        <w:rPr>
          <w:spacing w:val="-2"/>
          <w14:textOutline w14:w="4354" w14:cap="flat" w14:cmpd="sng">
            <w14:solidFill>
              <w14:srgbClr w14:val="000000"/>
            </w14:solidFill>
            <w14:prstDash w14:val="solid"/>
            <w14:miter w14:val="10"/>
          </w14:textOutline>
        </w:rPr>
        <w:t>既往研究</w:t>
      </w:r>
    </w:p>
    <w:p>
      <w:pPr>
        <w:pStyle w:val="2"/>
        <w:spacing w:before="181" w:line="470" w:lineRule="exact"/>
        <w:ind w:right="9"/>
        <w:jc w:val="right"/>
      </w:pPr>
      <w:r>
        <w:rPr>
          <w:spacing w:val="-9"/>
          <w:position w:val="17"/>
        </w:rPr>
        <w:t>如果研究药物曾进行多次</w:t>
      </w:r>
      <w:r>
        <w:rPr>
          <w:rFonts w:ascii="Times New Roman" w:hAnsi="Times New Roman" w:eastAsia="Times New Roman" w:cs="Times New Roman"/>
          <w:spacing w:val="-9"/>
          <w:position w:val="17"/>
        </w:rPr>
        <w:t>BE</w:t>
      </w:r>
      <w:r>
        <w:rPr>
          <w:spacing w:val="-9"/>
          <w:position w:val="17"/>
        </w:rPr>
        <w:t>试验（如： 预试验或失败的试验</w:t>
      </w:r>
      <w:r>
        <w:rPr>
          <w:spacing w:val="2"/>
          <w:position w:val="17"/>
        </w:rPr>
        <w:t>），</w:t>
      </w:r>
      <w:r>
        <w:rPr>
          <w:spacing w:val="-9"/>
          <w:position w:val="17"/>
        </w:rPr>
        <w:t>简述既往研</w:t>
      </w:r>
    </w:p>
    <w:p>
      <w:pPr>
        <w:pStyle w:val="2"/>
        <w:spacing w:before="1" w:line="218" w:lineRule="auto"/>
        <w:ind w:left="35"/>
      </w:pPr>
      <w:r>
        <w:rPr>
          <w:spacing w:val="-2"/>
        </w:rPr>
        <w:t>究概况。对于既往失败的</w:t>
      </w:r>
      <w:r>
        <w:rPr>
          <w:rFonts w:ascii="Times New Roman" w:hAnsi="Times New Roman" w:eastAsia="Times New Roman" w:cs="Times New Roman"/>
          <w:spacing w:val="-2"/>
        </w:rPr>
        <w:t>BE</w:t>
      </w:r>
      <w:r>
        <w:rPr>
          <w:spacing w:val="-2"/>
        </w:rPr>
        <w:t>试验，分析原因并说明新开展试验的改进之处。</w:t>
      </w:r>
    </w:p>
    <w:p>
      <w:pPr>
        <w:pStyle w:val="2"/>
        <w:spacing w:before="181" w:line="219" w:lineRule="auto"/>
        <w:ind w:left="31"/>
        <w:outlineLvl w:val="0"/>
      </w:pPr>
      <w:r>
        <w:rPr>
          <w:rFonts w:ascii="Times New Roman" w:hAnsi="Times New Roman" w:eastAsia="Times New Roman" w:cs="Times New Roman"/>
          <w:b/>
          <w:bCs/>
          <w:spacing w:val="-1"/>
        </w:rPr>
        <w:t>17.</w:t>
      </w:r>
      <w:r>
        <w:rPr>
          <w:spacing w:val="-1"/>
          <w14:textOutline w14:w="4354" w14:cap="flat" w14:cmpd="sng">
            <w14:solidFill>
              <w14:srgbClr w14:val="000000"/>
            </w14:solidFill>
            <w14:prstDash w14:val="solid"/>
            <w14:miter w14:val="10"/>
          </w14:textOutline>
        </w:rPr>
        <w:t>其他规格制剂豁免</w:t>
      </w:r>
      <w:r>
        <w:rPr>
          <w:spacing w:val="-47"/>
        </w:rPr>
        <w:t xml:space="preserve"> </w:t>
      </w:r>
      <w:r>
        <w:rPr>
          <w:rFonts w:ascii="Times New Roman" w:hAnsi="Times New Roman" w:eastAsia="Times New Roman" w:cs="Times New Roman"/>
          <w:b/>
          <w:bCs/>
          <w:spacing w:val="-1"/>
        </w:rPr>
        <w:t xml:space="preserve">BE </w:t>
      </w:r>
      <w:r>
        <w:rPr>
          <w:spacing w:val="-1"/>
          <w14:textOutline w14:w="4354" w14:cap="flat" w14:cmpd="sng">
            <w14:solidFill>
              <w14:srgbClr w14:val="000000"/>
            </w14:solidFill>
            <w14:prstDash w14:val="solid"/>
            <w14:miter w14:val="10"/>
          </w14:textOutline>
        </w:rPr>
        <w:t>试验</w:t>
      </w:r>
    </w:p>
    <w:p>
      <w:pPr>
        <w:pStyle w:val="2"/>
        <w:spacing w:before="185" w:line="219" w:lineRule="auto"/>
        <w:ind w:left="505"/>
      </w:pPr>
      <w:r>
        <w:rPr>
          <w:spacing w:val="-1"/>
        </w:rPr>
        <w:t>若其他规格制剂基于开展</w:t>
      </w:r>
      <w:r>
        <w:rPr>
          <w:spacing w:val="-58"/>
        </w:rPr>
        <w:t xml:space="preserve"> </w:t>
      </w:r>
      <w:r>
        <w:rPr>
          <w:rFonts w:ascii="Times New Roman" w:hAnsi="Times New Roman" w:eastAsia="Times New Roman" w:cs="Times New Roman"/>
          <w:spacing w:val="-1"/>
        </w:rPr>
        <w:t xml:space="preserve">BE </w:t>
      </w:r>
      <w:r>
        <w:rPr>
          <w:spacing w:val="-1"/>
        </w:rPr>
        <w:t>试验规格制剂申请豁</w:t>
      </w:r>
      <w:r>
        <w:rPr>
          <w:spacing w:val="-2"/>
        </w:rPr>
        <w:t>免</w:t>
      </w:r>
      <w:r>
        <w:rPr>
          <w:spacing w:val="-57"/>
        </w:rPr>
        <w:t xml:space="preserve"> </w:t>
      </w:r>
      <w:r>
        <w:rPr>
          <w:rFonts w:ascii="Times New Roman" w:hAnsi="Times New Roman" w:eastAsia="Times New Roman" w:cs="Times New Roman"/>
          <w:spacing w:val="-2"/>
        </w:rPr>
        <w:t xml:space="preserve">BE </w:t>
      </w:r>
      <w:r>
        <w:rPr>
          <w:spacing w:val="-2"/>
        </w:rPr>
        <w:t>试验，说明依据。</w:t>
      </w:r>
    </w:p>
    <w:p>
      <w:pPr>
        <w:pStyle w:val="2"/>
        <w:spacing w:before="181" w:line="220" w:lineRule="auto"/>
        <w:ind w:left="31"/>
        <w:outlineLvl w:val="0"/>
      </w:pPr>
      <w:r>
        <w:rPr>
          <w:rFonts w:ascii="Times New Roman" w:hAnsi="Times New Roman" w:eastAsia="Times New Roman" w:cs="Times New Roman"/>
          <w:b/>
          <w:bCs/>
          <w:spacing w:val="-1"/>
        </w:rPr>
        <w:t>18.</w:t>
      </w:r>
      <w:r>
        <w:rPr>
          <w:spacing w:val="-1"/>
          <w14:textOutline w14:w="4354" w14:cap="flat" w14:cmpd="sng">
            <w14:solidFill>
              <w14:srgbClr w14:val="000000"/>
            </w14:solidFill>
            <w14:prstDash w14:val="solid"/>
            <w14:miter w14:val="10"/>
          </w14:textOutline>
        </w:rPr>
        <w:t>其他需要说明的情况</w:t>
      </w:r>
    </w:p>
    <w:p>
      <w:pPr>
        <w:pStyle w:val="2"/>
        <w:spacing w:before="184" w:line="220" w:lineRule="auto"/>
        <w:ind w:left="505"/>
      </w:pPr>
      <w:r>
        <w:rPr>
          <w:spacing w:val="-3"/>
        </w:rPr>
        <w:t>若有其他需要说明的情况，予以说明。</w:t>
      </w:r>
    </w:p>
    <w:sectPr>
      <w:pgSz w:w="11905"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JlYmJiMjgyYTdkODNlMDc4MjVhNWM2YmY0YTU2M2QifQ=="/>
  </w:docVars>
  <w:rsids>
    <w:rsidRoot w:val="00000000"/>
    <w:rsid w:val="44CB2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2024-04-11T20:24:00Z</dcterms:created>
  <dc:creator>刘淑洁</dc:creator>
  <cp:lastModifiedBy>娜娜</cp:lastModifiedBy>
  <dcterms:modified xsi:type="dcterms:W3CDTF">2024-05-27T08:06:35Z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2024-05-27T15:55:04Z</vt:filetime>
  </property>
  <property fmtid="{D5CDD505-2E9C-101B-9397-08002B2CF9AE}" pid="4" name="KSOProductBuildVer">
    <vt:lpwstr>2052-12.1.0.16364</vt:lpwstr>
  </property>
  <property fmtid="{D5CDD505-2E9C-101B-9397-08002B2CF9AE}" pid="5" name="ICV">
    <vt:lpwstr>0FAD94DF307E4F00B1DFFF6C9D766123_12</vt:lpwstr>
  </property>
</Properties>
</file>