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97E77">
      <w:pPr>
        <w:spacing w:beforeLines="0" w:afterLines="0"/>
        <w:jc w:val="left"/>
        <w:rPr>
          <w:rFonts w:hint="eastAsia" w:ascii="宋体" w:hAnsi="宋体" w:eastAsia="宋体" w:cs="宋体"/>
          <w:color w:val="000000"/>
          <w:sz w:val="28"/>
          <w:szCs w:val="28"/>
        </w:rPr>
      </w:pPr>
    </w:p>
    <w:p w14:paraId="5FE04F2E">
      <w:pPr>
        <w:spacing w:beforeLines="0" w:afterLines="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附件</w:t>
      </w:r>
    </w:p>
    <w:p w14:paraId="50A41005">
      <w:pPr>
        <w:spacing w:beforeLines="0" w:afterLines="0"/>
        <w:jc w:val="left"/>
        <w:rPr>
          <w:rFonts w:hint="eastAsia" w:ascii="宋体" w:hAnsi="宋体" w:eastAsia="宋体" w:cs="宋体"/>
          <w:color w:val="000000"/>
          <w:sz w:val="28"/>
          <w:szCs w:val="28"/>
        </w:rPr>
      </w:pPr>
    </w:p>
    <w:p w14:paraId="38B2A9D2">
      <w:pPr>
        <w:spacing w:beforeLines="0" w:afterLines="0"/>
        <w:jc w:val="left"/>
        <w:rPr>
          <w:rFonts w:hint="eastAsia" w:ascii="宋体" w:hAnsi="宋体" w:eastAsia="宋体" w:cs="宋体"/>
          <w:color w:val="000000"/>
          <w:sz w:val="28"/>
          <w:szCs w:val="28"/>
        </w:rPr>
      </w:pPr>
    </w:p>
    <w:p w14:paraId="6E94DF33">
      <w:pPr>
        <w:spacing w:beforeLines="0" w:afterLines="0"/>
        <w:jc w:val="left"/>
        <w:rPr>
          <w:rFonts w:hint="eastAsia" w:ascii="宋体" w:hAnsi="宋体" w:eastAsia="宋体" w:cs="宋体"/>
          <w:color w:val="000000"/>
          <w:sz w:val="28"/>
          <w:szCs w:val="28"/>
        </w:rPr>
      </w:pPr>
    </w:p>
    <w:p w14:paraId="42C2379D">
      <w:pPr>
        <w:spacing w:beforeLines="0" w:afterLines="0"/>
        <w:ind w:firstLine="1446" w:firstLineChars="600"/>
        <w:jc w:val="both"/>
        <w:rPr>
          <w:rFonts w:hint="eastAsia" w:ascii="宋体" w:hAnsi="宋体" w:eastAsia="宋体" w:cs="宋体"/>
          <w:b/>
          <w:bCs/>
          <w:color w:val="000000"/>
          <w:sz w:val="28"/>
          <w:szCs w:val="28"/>
          <w:lang w:val="en-US" w:eastAsia="zh-CN"/>
        </w:rPr>
      </w:pPr>
      <w:bookmarkStart w:id="0" w:name="OLE_LINK1"/>
      <w:r>
        <w:rPr>
          <w:rFonts w:hint="eastAsia" w:ascii="宋体" w:hAnsi="宋体" w:eastAsia="宋体" w:cs="宋体"/>
          <w:b/>
          <w:bCs/>
          <w:kern w:val="0"/>
          <w:sz w:val="24"/>
          <w:szCs w:val="24"/>
          <w:lang w:bidi="ar"/>
        </w:rPr>
        <w:t>[转载]</w:t>
      </w:r>
      <w:bookmarkEnd w:id="0"/>
      <w:r>
        <w:rPr>
          <w:rFonts w:hint="eastAsia" w:ascii="宋体" w:hAnsi="宋体" w:eastAsia="宋体" w:cs="宋体"/>
          <w:b/>
          <w:bCs/>
          <w:sz w:val="28"/>
          <w:szCs w:val="28"/>
          <w:lang w:val="en-US" w:eastAsia="zh-CN"/>
        </w:rPr>
        <w:t>化学仿制药注射剂过量灌装研究技术指导原则</w:t>
      </w:r>
    </w:p>
    <w:p w14:paraId="14406CBB">
      <w:pPr>
        <w:spacing w:beforeLines="0" w:afterLines="0"/>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2024</w:t>
      </w:r>
      <w:r>
        <w:rPr>
          <w:rFonts w:hint="eastAsia" w:ascii="宋体" w:hAnsi="宋体" w:eastAsia="宋体" w:cs="宋体"/>
          <w:color w:val="000000"/>
          <w:sz w:val="28"/>
          <w:szCs w:val="28"/>
          <w:lang w:val="en-US" w:eastAsia="zh-CN"/>
        </w:rPr>
        <w:t>年</w:t>
      </w:r>
      <w:r>
        <w:rPr>
          <w:rFonts w:hint="eastAsia" w:ascii="宋体" w:hAnsi="宋体" w:eastAsia="宋体" w:cs="宋体"/>
          <w:color w:val="000000"/>
          <w:sz w:val="28"/>
          <w:szCs w:val="28"/>
        </w:rPr>
        <w:t>6</w:t>
      </w:r>
      <w:r>
        <w:rPr>
          <w:rFonts w:hint="eastAsia" w:ascii="宋体" w:hAnsi="宋体" w:eastAsia="宋体" w:cs="宋体"/>
          <w:color w:val="000000"/>
          <w:sz w:val="28"/>
          <w:szCs w:val="28"/>
          <w:lang w:val="en-US" w:eastAsia="zh-CN"/>
        </w:rPr>
        <w:t>月</w:t>
      </w:r>
    </w:p>
    <w:p w14:paraId="07C00A5B">
      <w:pPr>
        <w:pageBreakBefore/>
        <w:spacing w:beforeLines="0" w:afterLines="0"/>
        <w:ind w:firstLine="562" w:firstLineChars="200"/>
        <w:jc w:val="left"/>
        <w:rPr>
          <w:rFonts w:hint="eastAsia" w:ascii="宋体" w:hAnsi="宋体" w:eastAsia="宋体" w:cs="宋体"/>
          <w:color w:val="000000"/>
          <w:sz w:val="28"/>
          <w:szCs w:val="28"/>
        </w:rPr>
      </w:pPr>
      <w:r>
        <w:rPr>
          <w:rFonts w:hint="eastAsia" w:ascii="宋体" w:hAnsi="宋体" w:eastAsia="宋体" w:cs="宋体"/>
          <w:b/>
          <w:bCs/>
          <w:color w:val="000000"/>
          <w:sz w:val="28"/>
          <w:szCs w:val="28"/>
        </w:rPr>
        <w:t>一、概述</w:t>
      </w:r>
      <w:r>
        <w:rPr>
          <w:rFonts w:hint="eastAsia" w:ascii="宋体" w:hAnsi="宋体" w:eastAsia="宋体" w:cs="宋体"/>
          <w:color w:val="000000"/>
          <w:sz w:val="28"/>
          <w:szCs w:val="28"/>
        </w:rPr>
        <w:t xml:space="preserve"> </w:t>
      </w:r>
    </w:p>
    <w:p w14:paraId="677D9E76">
      <w:pPr>
        <w:spacing w:beforeLines="0" w:afterLines="0"/>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注射剂的过量灌装是指每个容器中药品的灌装量较标示量适当增加的体积或重量，以确保实际给药剂量满足说明书中规定的用量。为完善化学仿制药注射剂过量灌装的药学研究和申报资料要求，结合国内外仿制药研发与生产现状，制定本指导原则。</w:t>
      </w:r>
    </w:p>
    <w:p w14:paraId="456F8F4B">
      <w:pPr>
        <w:spacing w:beforeLines="0" w:afterLines="0"/>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本指导原则仅适用于采用安瓿瓶和西林瓶包装的化学仿制药注射剂上市申请和上市后相关变更研究（如，可能影响灌装体积的变更等），不适用于其他包装形式的注射剂（如，预灌封包装系统、静脉输液袋等）。</w:t>
      </w:r>
    </w:p>
    <w:p w14:paraId="661314F0">
      <w:pPr>
        <w:spacing w:beforeLines="0" w:afterLines="0"/>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本指导原则仅代表药品监管部门对于该问题的当前认知，旨在为新申报的化学仿制药注射剂上市申请和相关研究提供指导。随着相关法规的不断完善以及药物研究技术要求的提高，本指导原则中的相关内容将不断完善与更新。</w:t>
      </w:r>
    </w:p>
    <w:p w14:paraId="47E3FB4E">
      <w:pPr>
        <w:spacing w:beforeLines="0" w:afterLines="0"/>
        <w:ind w:firstLine="562" w:firstLineChars="200"/>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二、总体考虑</w:t>
      </w:r>
    </w:p>
    <w:p w14:paraId="1A7B85FF">
      <w:pPr>
        <w:spacing w:beforeLines="0" w:afterLines="0"/>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鉴于包材粘附等原因，为了保证实际给药剂量满足说明书中规定的用量，应适当增加装量。增加的装量应能确保每支（瓶）产品的可转移剂量均不低于标示量。同时，增加的装量不应造成明显的药物过量而引起安全性方面的风险，以及给药后药瓶中残留药品过多可能用于第二剂而造成的药品污染、错用等风险。根据中国药典通则，注射剂的灌装标示装量不大于50ml时，可参考中国药典推荐的易流动液和粘稠液过量灌装量，适当增加装量。</w:t>
      </w:r>
    </w:p>
    <w:p w14:paraId="5EF46EDE">
      <w:pPr>
        <w:spacing w:beforeLines="0" w:afterLines="0"/>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为确保仿制药用法用量与参比制剂的一致性，化学仿制药注射剂的过量灌装宜与参比制剂保持一致，如不一致需提供合理性论证，应确保每支（瓶）产品的实际给药剂量均不低于标示量。</w:t>
      </w:r>
    </w:p>
    <w:p w14:paraId="0029F44B">
      <w:pPr>
        <w:spacing w:beforeLines="0" w:afterLines="0"/>
        <w:ind w:firstLine="562" w:firstLineChars="200"/>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三、主要研究内容</w:t>
      </w:r>
    </w:p>
    <w:p w14:paraId="4447F0CD">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（一）参比制剂研究</w:t>
      </w:r>
    </w:p>
    <w:p w14:paraId="23861B6A">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申请人应充分调研参比制剂信息，包括相关专利、文献、公开的审评报告、说明书等，并对多批参比制剂进行详细研究，综合分析参比制剂的过量灌装情况。</w:t>
      </w:r>
    </w:p>
    <w:p w14:paraId="48145551">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（二）仿制药过量灌装的研究</w:t>
      </w:r>
    </w:p>
    <w:p w14:paraId="3888EF56">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1.注射液</w:t>
      </w:r>
    </w:p>
    <w:p w14:paraId="4585CFF1">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化学仿制药注射液的浓度应与参比制剂标示浓度保持一致。为保证每支（瓶）产品均能转移并使用标示的给药剂量，可参考中国药典适当增加灌装量1。</w:t>
      </w:r>
    </w:p>
    <w:p w14:paraId="2757BBD6">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申请人可按下式计算灌装量范围：</w:t>
      </w:r>
    </w:p>
    <w:p w14:paraId="348AF054">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灌装量下限=标示装量+过量体积（ml）</w:t>
      </w:r>
    </w:p>
    <w:p w14:paraId="756B8582">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灌装量上限=标示装量×合理论证的系数+过量体积（ml）</w:t>
      </w:r>
    </w:p>
    <w:p w14:paraId="616EC3D1">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申请人在确定灌装量上限时，应对系数进行合理论证，可能的考虑因素包括但不限于灌装精度、产品特点等（下同）。</w:t>
      </w:r>
    </w:p>
    <w:p w14:paraId="3A632F02">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一般而言，可参照中国药典增加灌装量，如不一致，可通过可转移体积等研究说明其合理性，确保每支（瓶）产品的实际给药剂量均不低于标示量。</w:t>
      </w:r>
    </w:p>
    <w:p w14:paraId="604F28E0">
      <w:pPr>
        <w:spacing w:beforeLines="0" w:afterLines="0"/>
        <w:jc w:val="left"/>
        <w:rPr>
          <w:rFonts w:hint="eastAsia" w:ascii="宋体" w:hAnsi="宋体" w:eastAsia="宋体" w:cs="宋体"/>
          <w:color w:val="000000"/>
          <w:sz w:val="28"/>
          <w:szCs w:val="28"/>
        </w:rPr>
      </w:pPr>
    </w:p>
    <w:p w14:paraId="7E19AA6C">
      <w:pPr>
        <w:pageBreakBefore/>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2.注射用无菌粉末</w:t>
      </w:r>
    </w:p>
    <w:p w14:paraId="3C32F89D">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注射用无菌粉末在临用前需用适宜的溶剂配制后使用，应确保每瓶产品的实际给药剂量均不低于标示量。</w:t>
      </w:r>
    </w:p>
    <w:p w14:paraId="4E52EC78">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根据参比制剂说明书中用法，其过量灌装研究可分为以下两种情形。</w:t>
      </w:r>
    </w:p>
    <w:p w14:paraId="0E5A486B">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参比制剂说明书中明确复溶后浓度的情形：</w:t>
      </w:r>
    </w:p>
    <w:p w14:paraId="0B3FB09B">
      <w:pPr>
        <w:spacing w:beforeLines="0" w:afterLines="0"/>
        <w:ind w:firstLine="560" w:firstLineChars="200"/>
        <w:jc w:val="both"/>
        <w:rPr>
          <w:rFonts w:hint="eastAsia" w:ascii="宋体" w:hAnsi="宋体" w:eastAsia="宋体" w:cs="宋体"/>
          <w:color w:val="0000FF"/>
          <w:sz w:val="28"/>
          <w:szCs w:val="28"/>
        </w:rPr>
      </w:pPr>
      <w:r>
        <w:rPr>
          <w:rFonts w:hint="eastAsia" w:ascii="宋体" w:hAnsi="宋体" w:eastAsia="宋体" w:cs="宋体"/>
          <w:color w:val="000000"/>
          <w:sz w:val="28"/>
          <w:szCs w:val="28"/>
        </w:rPr>
        <w:t>根据参比制剂说明书的用法进行复溶后，仿制药最低灌装量的复溶后药物浓度应与说明书中规定的复溶后药物浓度一致。应对仿制药复溶后药液总体积进行研究2，按下式计算总药量范围：</w:t>
      </w:r>
    </w:p>
    <w:p w14:paraId="40271BEE">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总药量下限=复溶后标示浓度（mg/ml）×复溶后总体积 </w:t>
      </w:r>
    </w:p>
    <w:p w14:paraId="37D155BA">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总药量上限=复溶后标示浓度（mg/ml）×合理论证的系数×复溶后总体积 </w:t>
      </w:r>
    </w:p>
    <w:p w14:paraId="5EA15C9C">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参比制剂说明书中未明确复溶后浓度的情形：</w:t>
      </w:r>
    </w:p>
    <w:p w14:paraId="725D3302">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根据参比制剂说明书的用法进行复溶后，仿制药的可转移剂量应满足说明书标示的给药剂量。</w:t>
      </w:r>
    </w:p>
    <w:p w14:paraId="77C6B501">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（三）过程控制及质量研究</w:t>
      </w:r>
    </w:p>
    <w:p w14:paraId="53ACF147">
      <w:pPr>
        <w:spacing w:beforeLines="0" w:afterLines="0"/>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应对灌装前药液浓度、灌装过程中灌装量范围进行合理控制，提供控制范围制订依据。 </w:t>
      </w:r>
    </w:p>
    <w:p w14:paraId="68CC5373">
      <w:pPr>
        <w:spacing w:beforeLines="0" w:afterLines="0"/>
        <w:ind w:firstLine="560"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 一般而言，注射用粉末复溶后，溶液体积会增加。增加的体积应符合中国药典通则中关于注射液适当增加的灌装量，如不符合，可通过可转移体积等研究说明其合理性，确保每瓶产品的实际给药剂量均不低于标示量。</w:t>
      </w:r>
    </w:p>
    <w:p w14:paraId="4E7075B0">
      <w:pPr>
        <w:spacing w:beforeLines="0" w:afterLines="0"/>
        <w:ind w:firstLine="560"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sz w:val="28"/>
          <w:szCs w:val="28"/>
        </w:rPr>
        <w:t>应采用多批商业化规模生产样品进行下述研究：</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4"/>
        <w:gridCol w:w="404"/>
        <w:gridCol w:w="1210"/>
        <w:gridCol w:w="808"/>
        <w:gridCol w:w="806"/>
        <w:gridCol w:w="1212"/>
        <w:gridCol w:w="402"/>
        <w:gridCol w:w="1614"/>
        <w:gridCol w:w="2"/>
      </w:tblGrid>
      <w:tr w14:paraId="76A7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l2br w:val="nil"/>
              <w:tr2bl w:val="nil"/>
            </w:tcBorders>
            <w:noWrap w:val="0"/>
            <w:vAlign w:val="top"/>
          </w:tcPr>
          <w:p w14:paraId="6C344552">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可转移体积（ml/瓶） </w:t>
            </w:r>
          </w:p>
        </w:tc>
        <w:tc>
          <w:tcPr>
            <w:tcW w:w="0" w:type="auto"/>
            <w:gridSpan w:val="2"/>
            <w:tcBorders>
              <w:tl2br w:val="nil"/>
              <w:tr2bl w:val="nil"/>
            </w:tcBorders>
            <w:noWrap w:val="0"/>
            <w:vAlign w:val="top"/>
          </w:tcPr>
          <w:p w14:paraId="28F7F890">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药液浓度（mg/ml） </w:t>
            </w:r>
          </w:p>
        </w:tc>
        <w:tc>
          <w:tcPr>
            <w:tcW w:w="0" w:type="auto"/>
            <w:gridSpan w:val="2"/>
            <w:tcBorders>
              <w:tl2br w:val="nil"/>
              <w:tr2bl w:val="nil"/>
            </w:tcBorders>
            <w:noWrap w:val="0"/>
            <w:vAlign w:val="top"/>
          </w:tcPr>
          <w:p w14:paraId="040101A9">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灌装量（ml/瓶）或总药量（ mg/瓶） </w:t>
            </w:r>
          </w:p>
        </w:tc>
        <w:tc>
          <w:tcPr>
            <w:tcW w:w="0" w:type="auto"/>
            <w:gridSpan w:val="3"/>
            <w:tcBorders>
              <w:tl2br w:val="nil"/>
              <w:tr2bl w:val="nil"/>
            </w:tcBorders>
            <w:noWrap w:val="0"/>
            <w:vAlign w:val="top"/>
          </w:tcPr>
          <w:p w14:paraId="04BD50E2">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装量差异或含量均匀度 </w:t>
            </w:r>
          </w:p>
        </w:tc>
      </w:tr>
      <w:tr w14:paraId="02A7E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45" w:hRule="atLeast"/>
        </w:trPr>
        <w:tc>
          <w:tcPr>
            <w:tcW w:w="0" w:type="auto"/>
            <w:tcBorders>
              <w:tl2br w:val="nil"/>
              <w:tr2bl w:val="nil"/>
            </w:tcBorders>
            <w:noWrap w:val="0"/>
            <w:vAlign w:val="top"/>
          </w:tcPr>
          <w:p w14:paraId="09617D3F">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注射液 </w:t>
            </w:r>
          </w:p>
        </w:tc>
        <w:tc>
          <w:tcPr>
            <w:tcW w:w="0" w:type="auto"/>
            <w:gridSpan w:val="2"/>
            <w:tcBorders>
              <w:tl2br w:val="nil"/>
              <w:tr2bl w:val="nil"/>
            </w:tcBorders>
            <w:noWrap w:val="0"/>
            <w:vAlign w:val="top"/>
          </w:tcPr>
          <w:p w14:paraId="3957F729">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tc>
        <w:tc>
          <w:tcPr>
            <w:tcW w:w="0" w:type="auto"/>
            <w:gridSpan w:val="2"/>
            <w:tcBorders>
              <w:tl2br w:val="nil"/>
              <w:tr2bl w:val="nil"/>
            </w:tcBorders>
            <w:noWrap w:val="0"/>
            <w:vAlign w:val="top"/>
          </w:tcPr>
          <w:p w14:paraId="4A586219">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tc>
        <w:tc>
          <w:tcPr>
            <w:tcW w:w="0" w:type="auto"/>
            <w:gridSpan w:val="2"/>
            <w:tcBorders>
              <w:tl2br w:val="nil"/>
              <w:tr2bl w:val="nil"/>
            </w:tcBorders>
            <w:noWrap w:val="0"/>
            <w:vAlign w:val="top"/>
          </w:tcPr>
          <w:p w14:paraId="356DF401">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tc>
        <w:tc>
          <w:tcPr>
            <w:tcW w:w="0" w:type="auto"/>
            <w:tcBorders>
              <w:tl2br w:val="nil"/>
              <w:tr2bl w:val="nil"/>
            </w:tcBorders>
            <w:noWrap w:val="0"/>
            <w:vAlign w:val="top"/>
          </w:tcPr>
          <w:p w14:paraId="406AD1C5">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 </w:t>
            </w:r>
          </w:p>
        </w:tc>
      </w:tr>
      <w:tr w14:paraId="0C29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21" w:hRule="atLeast"/>
        </w:trPr>
        <w:tc>
          <w:tcPr>
            <w:tcW w:w="0" w:type="auto"/>
            <w:tcBorders>
              <w:tl2br w:val="nil"/>
              <w:tr2bl w:val="nil"/>
            </w:tcBorders>
            <w:noWrap w:val="0"/>
            <w:vAlign w:val="top"/>
          </w:tcPr>
          <w:p w14:paraId="3080BF02">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注射用无菌粉末 </w:t>
            </w:r>
          </w:p>
        </w:tc>
        <w:tc>
          <w:tcPr>
            <w:tcW w:w="0" w:type="auto"/>
            <w:gridSpan w:val="2"/>
            <w:tcBorders>
              <w:tl2br w:val="nil"/>
              <w:tr2bl w:val="nil"/>
            </w:tcBorders>
            <w:noWrap w:val="0"/>
            <w:vAlign w:val="top"/>
          </w:tcPr>
          <w:p w14:paraId="7F93C96C">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√（复溶后） </w:t>
            </w:r>
          </w:p>
        </w:tc>
        <w:tc>
          <w:tcPr>
            <w:tcW w:w="0" w:type="auto"/>
            <w:gridSpan w:val="2"/>
            <w:tcBorders>
              <w:tl2br w:val="nil"/>
              <w:tr2bl w:val="nil"/>
            </w:tcBorders>
            <w:noWrap w:val="0"/>
            <w:vAlign w:val="top"/>
          </w:tcPr>
          <w:p w14:paraId="65124F71">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√（复溶后） </w:t>
            </w:r>
          </w:p>
        </w:tc>
        <w:tc>
          <w:tcPr>
            <w:tcW w:w="0" w:type="auto"/>
            <w:gridSpan w:val="2"/>
            <w:tcBorders>
              <w:tl2br w:val="nil"/>
              <w:tr2bl w:val="nil"/>
            </w:tcBorders>
            <w:noWrap w:val="0"/>
            <w:vAlign w:val="top"/>
          </w:tcPr>
          <w:p w14:paraId="66437BA2">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tc>
        <w:tc>
          <w:tcPr>
            <w:tcW w:w="0" w:type="auto"/>
            <w:tcBorders>
              <w:tl2br w:val="nil"/>
              <w:tr2bl w:val="nil"/>
            </w:tcBorders>
            <w:noWrap w:val="0"/>
            <w:vAlign w:val="top"/>
          </w:tcPr>
          <w:p w14:paraId="4457625C">
            <w:pPr>
              <w:spacing w:beforeLines="0" w:afterLines="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tc>
      </w:tr>
    </w:tbl>
    <w:p w14:paraId="0064582B">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申请人应提供仿制药与参比制剂可转移剂量的对比研究资料，仿制药的可转移剂量应满足说明书中标示的给药剂量。</w:t>
      </w:r>
    </w:p>
    <w:p w14:paraId="1FD2D08B">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其他类型的注射剂可参考本指导原则的研究思路开展研究。</w:t>
      </w:r>
    </w:p>
    <w:p w14:paraId="63A1BC4E">
      <w:pPr>
        <w:spacing w:beforeLines="0" w:afterLines="0"/>
        <w:ind w:firstLine="562" w:firstLineChars="20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xml:space="preserve">四、申报资料要求 </w:t>
      </w:r>
    </w:p>
    <w:p w14:paraId="37AA639A">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申请人应在申报资料中提供过量灌装的相关研究资料。过量灌装量应在CTD通用技术文档“3.2.P.1剂型及产品组成”部分进行描述；相关研究验证资料（如，可转移体积测试、黏度研究、灌装量范围等）和过程控制应在CTD通用技术文档“3.2.P.2产品开发、3.2.P.3生产”部分进行描述。</w:t>
      </w:r>
    </w:p>
    <w:p w14:paraId="13601E1A">
      <w:pPr>
        <w:spacing w:beforeLines="0" w:afterLines="0"/>
        <w:ind w:firstLine="562" w:firstLineChars="200"/>
        <w:jc w:val="both"/>
        <w:rPr>
          <w:rFonts w:hint="eastAsia" w:ascii="宋体" w:hAnsi="宋体" w:eastAsia="宋体" w:cs="宋体"/>
          <w:color w:val="000000"/>
          <w:sz w:val="28"/>
          <w:szCs w:val="28"/>
        </w:rPr>
      </w:pPr>
      <w:r>
        <w:rPr>
          <w:rFonts w:hint="eastAsia" w:ascii="宋体" w:hAnsi="宋体" w:eastAsia="宋体" w:cs="宋体"/>
          <w:b/>
          <w:bCs/>
          <w:color w:val="000000"/>
          <w:sz w:val="28"/>
          <w:szCs w:val="28"/>
        </w:rPr>
        <w:t>五、说明书和标签</w:t>
      </w:r>
      <w:r>
        <w:rPr>
          <w:rFonts w:hint="eastAsia" w:ascii="宋体" w:hAnsi="宋体" w:eastAsia="宋体" w:cs="宋体"/>
          <w:color w:val="000000"/>
          <w:sz w:val="28"/>
          <w:szCs w:val="28"/>
        </w:rPr>
        <w:t xml:space="preserve"> </w:t>
      </w:r>
    </w:p>
    <w:p w14:paraId="17E111CE">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如适用，建议参照参比制剂说明书，在【用法用量】项下标注复溶后药液浓度。为避免临床用药困惑，过量灌装量通常不需要在标签和说明书中特别说明。</w:t>
      </w:r>
    </w:p>
    <w:p w14:paraId="54B54911">
      <w:pPr>
        <w:spacing w:beforeLines="0" w:afterLines="0"/>
        <w:ind w:firstLine="1120" w:firstLineChars="400"/>
        <w:jc w:val="both"/>
        <w:rPr>
          <w:rFonts w:hint="eastAsia" w:ascii="宋体" w:hAnsi="宋体" w:eastAsia="宋体" w:cs="宋体"/>
          <w:color w:val="000000"/>
          <w:sz w:val="28"/>
          <w:szCs w:val="28"/>
        </w:rPr>
      </w:pPr>
      <w:r>
        <w:rPr>
          <w:rFonts w:hint="eastAsia" w:ascii="宋体" w:hAnsi="宋体" w:eastAsia="宋体" w:cs="宋体"/>
          <w:color w:val="000000"/>
          <w:sz w:val="28"/>
          <w:szCs w:val="28"/>
        </w:rPr>
        <w:t>3 可根据中国药典要求执行。</w:t>
      </w:r>
    </w:p>
    <w:p w14:paraId="4373CD4B">
      <w:pPr>
        <w:pageBreakBefore/>
        <w:spacing w:beforeLines="0" w:afterLines="0"/>
        <w:ind w:firstLine="562" w:firstLineChars="200"/>
        <w:jc w:val="both"/>
        <w:rPr>
          <w:rFonts w:hint="eastAsia" w:ascii="宋体" w:hAnsi="宋体" w:eastAsia="宋体" w:cs="宋体"/>
          <w:b/>
          <w:bCs/>
          <w:color w:val="000000"/>
          <w:sz w:val="28"/>
          <w:szCs w:val="28"/>
        </w:rPr>
      </w:pPr>
      <w:bookmarkStart w:id="1" w:name="_GoBack"/>
      <w:r>
        <w:rPr>
          <w:rFonts w:hint="eastAsia" w:ascii="宋体" w:hAnsi="宋体" w:eastAsia="宋体" w:cs="宋体"/>
          <w:b/>
          <w:bCs/>
          <w:color w:val="000000"/>
          <w:sz w:val="28"/>
          <w:szCs w:val="28"/>
        </w:rPr>
        <w:t xml:space="preserve">六、名词解释 </w:t>
      </w:r>
    </w:p>
    <w:bookmarkEnd w:id="1"/>
    <w:p w14:paraId="233F1689">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可转移体积：系指根据中国药典规定的【装量】检查方法或其他适宜且经过验证的方法，液体药物或固体药物复溶后可以从原容器中转移的体积。</w:t>
      </w:r>
    </w:p>
    <w:p w14:paraId="1E93923E">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可转移剂量：系指根据可转移体积和药物浓度（注射液）/复溶后药物浓度（注射用无菌粉末）计算得到的活性成分的量。</w:t>
      </w:r>
    </w:p>
    <w:p w14:paraId="1E7C702E">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灌装量：系指西林瓶或安瓿瓶中注射液的液体总量（如，ml），包括标示装量和增加的体积。</w:t>
      </w:r>
    </w:p>
    <w:p w14:paraId="3C24CAC1">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总药量：系指西林瓶中的注射用无菌粉末中活性成分的总量（如，mg），包括标示装量和增加的药量。</w:t>
      </w:r>
    </w:p>
    <w:p w14:paraId="1BFF7798">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标示量: 系指说明书和标签中标示的活性成分的量。</w:t>
      </w:r>
    </w:p>
    <w:p w14:paraId="4FBDB3D0">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七、参考文献 </w:t>
      </w:r>
    </w:p>
    <w:p w14:paraId="7C8B156D">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1.中国药典2020年版四部通则0102 </w:t>
      </w:r>
    </w:p>
    <w:p w14:paraId="03E637D6">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2.国家药品监督管理局. 化学药品注射剂仿制药质量和疗效一致性评价技术要求. 2020 </w:t>
      </w:r>
    </w:p>
    <w:p w14:paraId="494DFF43">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3. FDA. Guidance for Industry：Allowable Excess Volume and Labeled Vial Fill Size in Injectable Drug and Biological Products.2015 </w:t>
      </w:r>
    </w:p>
    <w:p w14:paraId="0D6555FE">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4.FDA. Allowable Excess Volume/Content in Injectable Drug and Biological Products（MAPP 5019.1 Rev 1）.2022 </w:t>
      </w:r>
    </w:p>
    <w:p w14:paraId="764263A4">
      <w:pPr>
        <w:spacing w:beforeLines="0" w:afterLines="0"/>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5.ICH Steering Committee, Harmonised Tripartite Guideline Q8(R2): Pharmaceutical Development. August, 2009 </w:t>
      </w:r>
    </w:p>
    <w:p w14:paraId="3AB20D79">
      <w:pPr>
        <w:spacing w:beforeLines="0" w:afterLines="0"/>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6. USP&lt;1151&gt; Pharmaceutical dosage forms </w:t>
      </w:r>
    </w:p>
    <w:p w14:paraId="0929E6AC">
      <w:pPr>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 xml:space="preserve">7. USP&lt; 697&gt; Container content for injections </w:t>
      </w:r>
    </w:p>
    <w:sectPr>
      <w:pgSz w:w="11904" w:h="17338"/>
      <w:pgMar w:top="1968" w:right="1589" w:bottom="1440" w:left="1598"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NDcwYWRmZGNjNzI3MWUwMGRkYzlhNjdmZjllYTkifQ=="/>
  </w:docVars>
  <w:rsids>
    <w:rsidRoot w:val="00172A27"/>
    <w:rsid w:val="068E3768"/>
    <w:rsid w:val="06E26A56"/>
    <w:rsid w:val="30274161"/>
    <w:rsid w:val="394A0EC1"/>
    <w:rsid w:val="3F6672EF"/>
    <w:rsid w:val="4B6B71A0"/>
    <w:rsid w:val="53F817ED"/>
    <w:rsid w:val="57016C0B"/>
    <w:rsid w:val="59AD4E28"/>
    <w:rsid w:val="5CE81E11"/>
    <w:rsid w:val="647B7FFD"/>
    <w:rsid w:val="69BF098B"/>
    <w:rsid w:val="7826607A"/>
    <w:rsid w:val="7A6510DB"/>
    <w:rsid w:val="7BD3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unhideWhenUsed/>
    <w:uiPriority w:val="99"/>
    <w:pPr>
      <w:widowControl w:val="0"/>
      <w:autoSpaceDE w:val="0"/>
      <w:autoSpaceDN w:val="0"/>
      <w:adjustRightInd w:val="0"/>
      <w:spacing w:beforeLines="0" w:afterLines="0"/>
    </w:pPr>
    <w:rPr>
      <w:rFonts w:hint="eastAsia" w:ascii="黑体" w:hAnsi="黑体" w:eastAsia="黑体" w:cstheme="minorBidi"/>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2138</Words>
  <Characters>2517</Characters>
  <Lines>0</Lines>
  <Paragraphs>0</Paragraphs>
  <TotalTime>0</TotalTime>
  <ScaleCrop>false</ScaleCrop>
  <LinksUpToDate>false</LinksUpToDate>
  <CharactersWithSpaces>2603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2024-09-19T07:39:00Z</dcterms:created>
  <dc:creator>杭州泓友</dc:creator>
  <cp:lastModifiedBy>娜娜</cp:lastModifiedBy>
  <dcterms:modified xsi:type="dcterms:W3CDTF">2024-09-19T08:11:23Z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0F1C42C2C9064F35A7CAE35F75B94B0E_12</vt:lpwstr>
  </property>
</Properties>
</file>